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CEDE3" w14:textId="77777777" w:rsidR="00556B85" w:rsidRPr="00BC5106" w:rsidRDefault="003154D9">
      <w:pPr>
        <w:pStyle w:val="Title"/>
        <w:spacing w:before="217"/>
        <w:rPr>
          <w:lang w:val="en-US"/>
        </w:rPr>
      </w:pPr>
      <w:r>
        <w:rPr>
          <w:spacing w:val="-2"/>
          <w:w w:val="85"/>
          <w:lang w:val="pl-PL" w:bidi="pl-PL"/>
        </w:rPr>
        <w:t>INSTRUKCJA UŻYWANIA:</w:t>
      </w:r>
    </w:p>
    <w:p w14:paraId="03AED4C4" w14:textId="77777777" w:rsidR="00556B85" w:rsidRPr="00BC5106" w:rsidRDefault="003154D9">
      <w:pPr>
        <w:pStyle w:val="Title"/>
        <w:rPr>
          <w:lang w:val="en-US"/>
        </w:rPr>
      </w:pPr>
      <w:r>
        <w:rPr>
          <w:w w:val="85"/>
          <w:lang w:val="pl-PL" w:bidi="pl-PL"/>
        </w:rPr>
        <w:t>CHROMOWO</w:t>
      </w:r>
      <w:r>
        <w:rPr>
          <w:spacing w:val="-2"/>
          <w:w w:val="85"/>
          <w:lang w:val="pl-PL" w:bidi="pl-PL"/>
        </w:rPr>
        <w:t>-KOBALTOWE</w:t>
      </w:r>
      <w:r>
        <w:rPr>
          <w:w w:val="85"/>
          <w:lang w:val="pl-PL" w:bidi="pl-PL"/>
        </w:rPr>
        <w:t xml:space="preserve"> ELEMENTY PROTETYCZNE</w:t>
      </w:r>
    </w:p>
    <w:p w14:paraId="652518A0" w14:textId="77777777" w:rsidR="00556B85" w:rsidRPr="00BC5106" w:rsidRDefault="003154D9">
      <w:pPr>
        <w:pStyle w:val="Heading1"/>
        <w:spacing w:before="219"/>
        <w:rPr>
          <w:lang w:val="en-US"/>
        </w:rPr>
      </w:pPr>
      <w:r>
        <w:rPr>
          <w:w w:val="85"/>
          <w:lang w:val="pl-PL" w:bidi="pl-PL"/>
        </w:rPr>
        <w:t xml:space="preserve">OPIS PRODUKTU I </w:t>
      </w:r>
      <w:r>
        <w:rPr>
          <w:spacing w:val="-2"/>
          <w:w w:val="85"/>
          <w:lang w:val="pl-PL" w:bidi="pl-PL"/>
        </w:rPr>
        <w:t>WSKAZANIA</w:t>
      </w:r>
    </w:p>
    <w:p w14:paraId="5B2E9F85" w14:textId="77777777" w:rsidR="00556B85" w:rsidRPr="00BC5106" w:rsidRDefault="003154D9">
      <w:pPr>
        <w:pStyle w:val="BodyText"/>
        <w:spacing w:before="19" w:line="283" w:lineRule="auto"/>
        <w:ind w:right="175"/>
        <w:jc w:val="both"/>
        <w:rPr>
          <w:lang w:val="pl-PL"/>
        </w:rPr>
      </w:pPr>
      <w:r>
        <w:rPr>
          <w:w w:val="105"/>
          <w:lang w:val="pl-PL" w:bidi="pl-PL"/>
        </w:rPr>
        <w:t>Odlewane łączniki CoCr28Mo firmy Advan umożliwiają jednostkową, wielokrotną i całkowitą rehabilitację implantów dentystycznych. Opakowanie zawiera kaniulę z tworzywa sztucznego do wypalenia i jej śrubę mocującą. Łączniki zostały wyprodukowane przy użyciu materiału CoCr28Mo zgodnego z normą ASTM F1537 jako materiału na podstawę łączącą; kaniula z tworzywa sztucznego do wypalenia została wykonana z polioksymetylenu (POM), śruba mocująca została wykonana z tytanu stopowego Ti6Al4V ELI (klasa 23) zgodnego z normą ASTM F136.</w:t>
      </w:r>
    </w:p>
    <w:p w14:paraId="26AA92A6" w14:textId="77777777" w:rsidR="00556B85" w:rsidRPr="00BC5106" w:rsidRDefault="003154D9">
      <w:pPr>
        <w:pStyle w:val="BodyText"/>
        <w:spacing w:line="283" w:lineRule="auto"/>
        <w:ind w:right="175"/>
        <w:jc w:val="both"/>
        <w:rPr>
          <w:lang w:val="pl-PL"/>
        </w:rPr>
      </w:pPr>
      <w:r>
        <w:rPr>
          <w:w w:val="105"/>
          <w:lang w:val="pl-PL" w:bidi="pl-PL"/>
        </w:rPr>
        <w:t>Stop CoCr28Mo składa się z niemagnetycznego, wszczepialnego kobaltu, wzbogaconego chromem i molibdenem, i charakteryzuje się doskonałą odpornością na korozję i dobrą wytrzymałością zmęczeniową. Dostarczany gatunek ma maksymalną zawartość niklu wynoszącą 0,02%.</w:t>
      </w:r>
    </w:p>
    <w:p w14:paraId="78C8C244" w14:textId="77777777" w:rsidR="00556B85" w:rsidRPr="00BC5106" w:rsidRDefault="003154D9">
      <w:pPr>
        <w:pStyle w:val="BodyText"/>
        <w:spacing w:line="203" w:lineRule="exact"/>
        <w:jc w:val="both"/>
        <w:rPr>
          <w:lang w:val="pl-PL"/>
        </w:rPr>
      </w:pPr>
      <w:r>
        <w:rPr>
          <w:w w:val="105"/>
          <w:lang w:val="pl-PL" w:bidi="pl-PL"/>
        </w:rPr>
        <w:t xml:space="preserve">Należy się zapoznać z wytycznymi chirurgicznymi dotyczącymi implantów i elementów </w:t>
      </w:r>
      <w:r>
        <w:rPr>
          <w:spacing w:val="-2"/>
          <w:w w:val="105"/>
          <w:lang w:val="pl-PL" w:bidi="pl-PL"/>
        </w:rPr>
        <w:t>protetycznych</w:t>
      </w:r>
      <w:r>
        <w:rPr>
          <w:w w:val="105"/>
          <w:lang w:val="pl-PL" w:bidi="pl-PL"/>
        </w:rPr>
        <w:t>.</w:t>
      </w:r>
    </w:p>
    <w:p w14:paraId="48D1B459" w14:textId="77777777" w:rsidR="00556B85" w:rsidRPr="00BC5106" w:rsidRDefault="00556B85">
      <w:pPr>
        <w:pStyle w:val="BodyText"/>
        <w:spacing w:before="36"/>
        <w:ind w:left="0"/>
        <w:rPr>
          <w:lang w:val="pl-PL"/>
        </w:rPr>
      </w:pPr>
    </w:p>
    <w:p w14:paraId="300087BC" w14:textId="77777777" w:rsidR="00556B85" w:rsidRPr="00BC5106" w:rsidRDefault="003154D9">
      <w:pPr>
        <w:pStyle w:val="Heading1"/>
        <w:spacing w:before="1"/>
        <w:rPr>
          <w:lang w:val="pl-PL"/>
        </w:rPr>
      </w:pPr>
      <w:r>
        <w:rPr>
          <w:spacing w:val="-2"/>
          <w:w w:val="95"/>
          <w:lang w:val="pl-PL" w:bidi="pl-PL"/>
        </w:rPr>
        <w:t>ZAMIERZONE</w:t>
      </w:r>
      <w:r>
        <w:rPr>
          <w:w w:val="85"/>
          <w:lang w:val="pl-PL" w:bidi="pl-PL"/>
        </w:rPr>
        <w:t xml:space="preserve"> ZASTOSOWANIE</w:t>
      </w:r>
    </w:p>
    <w:p w14:paraId="1F640320" w14:textId="77777777" w:rsidR="00556B85" w:rsidRPr="00BC5106" w:rsidRDefault="003154D9">
      <w:pPr>
        <w:pStyle w:val="BodyText"/>
        <w:spacing w:before="18" w:line="283" w:lineRule="auto"/>
        <w:ind w:right="175"/>
        <w:jc w:val="both"/>
        <w:rPr>
          <w:lang w:val="pl-PL"/>
        </w:rPr>
      </w:pPr>
      <w:r>
        <w:rPr>
          <w:w w:val="110"/>
          <w:lang w:val="pl-PL" w:bidi="pl-PL"/>
        </w:rPr>
        <w:t>Elementy protetyczne wykonane z CrCo28Mo są przeznaczone do stosowania w laboratorium podczas woskowania i odlewania infrastruktury protetycznej mocowanej śrubami lub cementowanej na implantach dentystycznych.</w:t>
      </w:r>
    </w:p>
    <w:p w14:paraId="5AD8B592" w14:textId="77777777" w:rsidR="00556B85" w:rsidRPr="00BC5106" w:rsidRDefault="00556B85">
      <w:pPr>
        <w:pStyle w:val="BodyText"/>
        <w:spacing w:before="2"/>
        <w:ind w:left="0"/>
        <w:rPr>
          <w:lang w:val="pl-PL"/>
        </w:rPr>
      </w:pPr>
    </w:p>
    <w:p w14:paraId="46BA7ECD" w14:textId="77777777" w:rsidR="00556B85" w:rsidRPr="00BC5106" w:rsidRDefault="003154D9">
      <w:pPr>
        <w:pStyle w:val="Heading1"/>
        <w:rPr>
          <w:lang w:val="en-US"/>
        </w:rPr>
      </w:pPr>
      <w:r>
        <w:rPr>
          <w:w w:val="85"/>
          <w:lang w:val="pl-PL" w:bidi="pl-PL"/>
        </w:rPr>
        <w:t>DANE</w:t>
      </w:r>
      <w:r>
        <w:rPr>
          <w:spacing w:val="-2"/>
          <w:w w:val="95"/>
          <w:lang w:val="pl-PL" w:bidi="pl-PL"/>
        </w:rPr>
        <w:t xml:space="preserve"> TECHNICZNE</w:t>
      </w:r>
    </w:p>
    <w:p w14:paraId="7B9F535D" w14:textId="4D6A9466" w:rsidR="00556B85" w:rsidRPr="00BC5106" w:rsidRDefault="003154D9">
      <w:pPr>
        <w:pStyle w:val="BodyText"/>
        <w:spacing w:before="18"/>
        <w:rPr>
          <w:spacing w:val="-2"/>
          <w:w w:val="105"/>
          <w:lang w:val="en-US"/>
        </w:rPr>
      </w:pPr>
      <w:r>
        <w:rPr>
          <w:spacing w:val="-2"/>
          <w:w w:val="105"/>
          <w:lang w:val="pl-PL" w:bidi="pl-PL"/>
        </w:rPr>
        <w:t>Skład</w:t>
      </w:r>
    </w:p>
    <w:p w14:paraId="2A4E0F46" w14:textId="77777777" w:rsidR="00556B85" w:rsidRPr="00BC5106" w:rsidRDefault="003154D9">
      <w:pPr>
        <w:pStyle w:val="BodyText"/>
        <w:spacing w:before="37"/>
        <w:rPr>
          <w:lang w:val="en-US"/>
        </w:rPr>
      </w:pPr>
      <w:r>
        <w:rPr>
          <w:lang w:val="pl-PL" w:bidi="pl-PL"/>
        </w:rPr>
        <w:t xml:space="preserve">Podstawa: CoCr28Mo – ASTM </w:t>
      </w:r>
      <w:r>
        <w:rPr>
          <w:spacing w:val="-2"/>
          <w:lang w:val="pl-PL" w:bidi="pl-PL"/>
        </w:rPr>
        <w:t>F1537</w:t>
      </w:r>
    </w:p>
    <w:p w14:paraId="0FACA6E8" w14:textId="3A88CC8E" w:rsidR="00556B85" w:rsidRPr="00BC5106" w:rsidRDefault="00556B85">
      <w:pPr>
        <w:pStyle w:val="BodyText"/>
        <w:spacing w:before="7"/>
        <w:ind w:left="0"/>
        <w:rPr>
          <w:sz w:val="10"/>
          <w:lang w:val="en-US"/>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BC5106" w14:paraId="69687F45" w14:textId="77777777" w:rsidTr="006439BE">
        <w:trPr>
          <w:trHeight w:hRule="exact" w:val="63"/>
        </w:trPr>
        <w:tc>
          <w:tcPr>
            <w:tcW w:w="4417" w:type="dxa"/>
            <w:gridSpan w:val="9"/>
            <w:shd w:val="clear" w:color="auto" w:fill="FFFFFF"/>
          </w:tcPr>
          <w:p w14:paraId="330F34C7" w14:textId="77777777" w:rsidR="006439BE" w:rsidRPr="00BC5106" w:rsidRDefault="006439BE" w:rsidP="006439BE">
            <w:pPr>
              <w:rPr>
                <w:sz w:val="10"/>
                <w:szCs w:val="10"/>
                <w:lang w:val="en-US"/>
              </w:rPr>
            </w:pPr>
          </w:p>
        </w:tc>
      </w:tr>
      <w:tr w:rsidR="006439BE" w:rsidRPr="00BC5106"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BC5106" w:rsidRDefault="006439BE" w:rsidP="006439BE">
            <w:pPr>
              <w:pStyle w:val="Other0"/>
              <w:ind w:left="14" w:right="113"/>
              <w:jc w:val="left"/>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BC5106" w:rsidRDefault="006439BE" w:rsidP="006439BE">
            <w:pPr>
              <w:rPr>
                <w:sz w:val="10"/>
                <w:szCs w:val="10"/>
                <w:lang w:val="en-US"/>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pl-PL" w:bidi="pl-PL"/>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pl-PL" w:bidi="pl-PL"/>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pl-PL" w:bidi="pl-PL"/>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pl-PL" w:bidi="pl-PL"/>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pl-PL" w:bidi="pl-PL"/>
              </w:rPr>
              <w:t>Si</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pl-PL" w:bidi="pl-PL"/>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pl-PL" w:bidi="pl-PL"/>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pl-PL" w:bidi="pl-PL"/>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pl-PL" w:bidi="pl-PL"/>
              </w:rPr>
              <w:t>% wagowo</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pl-PL" w:bidi="pl-PL"/>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pl-PL" w:bidi="pl-PL"/>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pl-PL" w:bidi="pl-PL"/>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pl-PL" w:bidi="pl-PL"/>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pl-PL" w:bidi="pl-PL"/>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pl-PL" w:bidi="pl-PL"/>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pl-PL" w:bidi="pl-PL"/>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pl-PL" w:bidi="pl-PL"/>
              </w:rPr>
              <w:t>0,02</w:t>
            </w:r>
          </w:p>
        </w:tc>
      </w:tr>
    </w:tbl>
    <w:p w14:paraId="6D8BC7C7" w14:textId="77777777" w:rsidR="00556B85" w:rsidRDefault="00556B85">
      <w:pPr>
        <w:pStyle w:val="BodyText"/>
        <w:spacing w:before="82"/>
        <w:ind w:left="0"/>
      </w:pPr>
    </w:p>
    <w:p w14:paraId="267C11A9" w14:textId="50B10B66" w:rsidR="00556B85" w:rsidRDefault="003154D9">
      <w:pPr>
        <w:pStyle w:val="BodyText"/>
        <w:spacing w:before="1"/>
      </w:pPr>
      <w:r>
        <w:rPr>
          <w:lang w:val="pl-PL" w:bidi="pl-PL"/>
        </w:rPr>
        <w:t xml:space="preserve">Kaniula do wypalenia: Polioksymetylen </w:t>
      </w:r>
      <w:r>
        <w:rPr>
          <w:spacing w:val="-2"/>
          <w:lang w:val="pl-PL" w:bidi="pl-PL"/>
        </w:rPr>
        <w:t>(POM)</w:t>
      </w:r>
    </w:p>
    <w:p w14:paraId="00BE3752" w14:textId="77777777" w:rsidR="00556B85" w:rsidRDefault="003154D9">
      <w:pPr>
        <w:pStyle w:val="BodyText"/>
        <w:spacing w:before="36" w:line="283" w:lineRule="auto"/>
        <w:ind w:right="6134"/>
      </w:pPr>
      <w:r>
        <w:rPr>
          <w:lang w:val="pl-PL" w:bidi="pl-PL"/>
        </w:rPr>
        <w:t xml:space="preserve">Śruba łącznika: Ti6Al4V ELI (klasa 23) - ASTM F136 </w:t>
      </w:r>
      <w:r>
        <w:rPr>
          <w:w w:val="105"/>
          <w:lang w:val="pl-PL" w:bidi="pl-PL"/>
        </w:rPr>
        <w:t>Gęstość bazowa w CoCr28Mo</w:t>
      </w:r>
      <w:r>
        <w:rPr>
          <w:lang w:val="pl-PL" w:bidi="pl-PL"/>
        </w:rPr>
        <w:t>:</w:t>
      </w:r>
    </w:p>
    <w:p w14:paraId="1C5CFDBD" w14:textId="77777777" w:rsidR="00556B85" w:rsidRDefault="003154D9">
      <w:pPr>
        <w:pStyle w:val="BodyText"/>
        <w:spacing w:line="203" w:lineRule="exact"/>
        <w:ind w:left="188"/>
      </w:pPr>
      <w:r>
        <w:rPr>
          <w:noProof/>
          <w:position w:val="3"/>
          <w:lang w:val="pl-PL" w:bidi="pl-PL"/>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pl-PL" w:bidi="pl-PL"/>
        </w:rPr>
        <w:t xml:space="preserve"> </w:t>
      </w:r>
      <w:r>
        <w:rPr>
          <w:lang w:val="pl-PL" w:bidi="pl-PL"/>
        </w:rPr>
        <w:t>8,28 g/cm3</w:t>
      </w:r>
    </w:p>
    <w:p w14:paraId="367EF0F0" w14:textId="77777777" w:rsidR="00556B85" w:rsidRDefault="003154D9">
      <w:pPr>
        <w:pStyle w:val="BodyText"/>
        <w:spacing w:before="36"/>
      </w:pPr>
      <w:r>
        <w:rPr>
          <w:w w:val="105"/>
          <w:lang w:val="pl-PL" w:bidi="pl-PL"/>
        </w:rPr>
        <w:t xml:space="preserve">Zakres wartości topnienia łącznika </w:t>
      </w:r>
      <w:r>
        <w:rPr>
          <w:spacing w:val="-2"/>
          <w:w w:val="105"/>
          <w:lang w:val="pl-PL" w:bidi="pl-PL"/>
        </w:rPr>
        <w:t>CoCr28Mo</w:t>
      </w:r>
      <w:r>
        <w:rPr>
          <w:w w:val="105"/>
          <w:lang w:val="pl-PL" w:bidi="pl-PL"/>
        </w:rPr>
        <w:t>:</w:t>
      </w:r>
    </w:p>
    <w:p w14:paraId="3EEDEBC9" w14:textId="77777777" w:rsidR="00556B85" w:rsidRDefault="003154D9">
      <w:pPr>
        <w:pStyle w:val="Heading1"/>
        <w:spacing w:before="36"/>
        <w:ind w:left="188"/>
        <w:rPr>
          <w:rFonts w:ascii="Microsoft Sans Serif" w:hAnsi="Microsoft Sans Serif"/>
        </w:rPr>
      </w:pPr>
      <w:r>
        <w:rPr>
          <w:noProof/>
          <w:position w:val="3"/>
          <w:lang w:val="pl-PL" w:bidi="pl-PL"/>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pl-PL" w:bidi="pl-PL"/>
        </w:rPr>
        <w:t xml:space="preserve">  </w:t>
      </w:r>
      <w:r>
        <w:rPr>
          <w:rFonts w:ascii="Microsoft Sans Serif" w:eastAsia="Microsoft Sans Serif" w:hAnsi="Microsoft Sans Serif" w:cs="Microsoft Sans Serif"/>
          <w:lang w:val="pl-PL" w:bidi="pl-PL"/>
        </w:rPr>
        <w:t>1075 – 1150°C (1967 – 2102°F)</w:t>
      </w:r>
    </w:p>
    <w:p w14:paraId="487B4FD7" w14:textId="77777777" w:rsidR="00556B85" w:rsidRDefault="003154D9">
      <w:pPr>
        <w:pStyle w:val="BodyText"/>
        <w:spacing w:before="36"/>
      </w:pPr>
      <w:r>
        <w:rPr>
          <w:w w:val="105"/>
          <w:lang w:val="pl-PL" w:bidi="pl-PL"/>
        </w:rPr>
        <w:t xml:space="preserve">Współczynnik rozszerzalności cieplnej łącznika </w:t>
      </w:r>
      <w:r>
        <w:rPr>
          <w:spacing w:val="-2"/>
          <w:w w:val="105"/>
          <w:lang w:val="pl-PL" w:bidi="pl-PL"/>
        </w:rPr>
        <w:t>CoCr28Mo</w:t>
      </w:r>
      <w:r>
        <w:rPr>
          <w:w w:val="105"/>
          <w:lang w:val="pl-PL" w:bidi="pl-PL"/>
        </w:rPr>
        <w:t>:</w:t>
      </w:r>
    </w:p>
    <w:p w14:paraId="3DB2D26F" w14:textId="77777777" w:rsidR="00556B85" w:rsidRDefault="003154D9">
      <w:pPr>
        <w:pStyle w:val="BodyText"/>
        <w:spacing w:before="36"/>
        <w:ind w:left="188"/>
      </w:pPr>
      <w:r>
        <w:rPr>
          <w:noProof/>
          <w:position w:val="3"/>
          <w:lang w:val="pl-PL" w:bidi="pl-PL"/>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pl-PL" w:bidi="pl-PL"/>
        </w:rPr>
        <w:t xml:space="preserve">  </w:t>
      </w:r>
      <w:r>
        <w:rPr>
          <w:lang w:val="pl-PL" w:bidi="pl-PL"/>
        </w:rPr>
        <w:t>14,2 μm/K (600°C)</w:t>
      </w:r>
    </w:p>
    <w:p w14:paraId="103FB24F" w14:textId="77777777" w:rsidR="00556B85" w:rsidRDefault="003154D9">
      <w:pPr>
        <w:pStyle w:val="BodyText"/>
        <w:spacing w:before="36"/>
      </w:pPr>
      <w:r>
        <w:rPr>
          <w:lang w:val="pl-PL" w:bidi="pl-PL"/>
        </w:rPr>
        <w:t xml:space="preserve">Masa podstawy (z wyłączeniem </w:t>
      </w:r>
      <w:r>
        <w:rPr>
          <w:spacing w:val="-2"/>
          <w:lang w:val="pl-PL" w:bidi="pl-PL"/>
        </w:rPr>
        <w:t>kaniuli do wypalenia)</w:t>
      </w:r>
      <w:r>
        <w:rPr>
          <w:lang w:val="pl-PL" w:bidi="pl-PL"/>
        </w:rPr>
        <w:t>:</w:t>
      </w:r>
    </w:p>
    <w:p w14:paraId="76A84D33" w14:textId="77777777" w:rsidR="00556B85" w:rsidRDefault="003154D9">
      <w:pPr>
        <w:pStyle w:val="BodyText"/>
        <w:spacing w:before="36"/>
        <w:ind w:left="188"/>
      </w:pPr>
      <w:r>
        <w:rPr>
          <w:noProof/>
          <w:position w:val="3"/>
          <w:lang w:val="pl-PL" w:bidi="pl-PL"/>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pl-PL" w:bidi="pl-PL"/>
        </w:rPr>
        <w:t xml:space="preserve"> </w:t>
      </w:r>
      <w:r>
        <w:rPr>
          <w:lang w:val="pl-PL" w:bidi="pl-PL"/>
        </w:rPr>
        <w:t>0,3 grama</w:t>
      </w:r>
    </w:p>
    <w:p w14:paraId="31A688D3" w14:textId="77777777" w:rsidR="00556B85" w:rsidRDefault="00556B85">
      <w:pPr>
        <w:pStyle w:val="BodyText"/>
        <w:spacing w:before="40"/>
        <w:ind w:left="0"/>
      </w:pPr>
    </w:p>
    <w:p w14:paraId="5CDBE4B0" w14:textId="77777777" w:rsidR="00556B85" w:rsidRDefault="003154D9">
      <w:pPr>
        <w:pStyle w:val="Heading1"/>
      </w:pPr>
      <w:r>
        <w:rPr>
          <w:spacing w:val="-2"/>
          <w:lang w:val="pl-PL" w:bidi="pl-PL"/>
        </w:rPr>
        <w:t>PRZECIWWSKAZANIA</w:t>
      </w:r>
    </w:p>
    <w:p w14:paraId="7AE10C33" w14:textId="77777777" w:rsidR="00556B85" w:rsidRPr="00BC5106" w:rsidRDefault="003154D9">
      <w:pPr>
        <w:pStyle w:val="BodyText"/>
        <w:spacing w:before="18" w:line="283" w:lineRule="auto"/>
        <w:ind w:right="175"/>
        <w:jc w:val="both"/>
        <w:rPr>
          <w:lang w:val="pl-PL"/>
        </w:rPr>
      </w:pPr>
      <w:r>
        <w:rPr>
          <w:w w:val="105"/>
          <w:lang w:val="pl-PL" w:bidi="pl-PL"/>
        </w:rPr>
        <w:t>W bardzo rzadkich przypadkach nie można wykluczyć alergii lub nadwrażliwości na stop CoCr28Mo. Nie stosować w przypadku możliwej nadwrażliwości na jeden lub więcej metali zawartych w stopie CoCr28Mo. Alergie lub nadwrażliwość na składniki chemiczne następujących materiałów: Stop tytanu Ti6Al4V ELI (klasa 23), polioksymetylen (POM).</w:t>
      </w:r>
    </w:p>
    <w:p w14:paraId="269DFFAF" w14:textId="77777777" w:rsidR="00556B85" w:rsidRPr="00BC5106" w:rsidRDefault="00556B85">
      <w:pPr>
        <w:pStyle w:val="BodyText"/>
        <w:spacing w:before="2"/>
        <w:ind w:left="0"/>
        <w:rPr>
          <w:lang w:val="pl-PL"/>
        </w:rPr>
      </w:pPr>
    </w:p>
    <w:p w14:paraId="1666997E" w14:textId="77777777" w:rsidR="00556B85" w:rsidRPr="00BC5106" w:rsidRDefault="003154D9">
      <w:pPr>
        <w:pStyle w:val="Heading1"/>
        <w:rPr>
          <w:lang w:val="pl-PL"/>
        </w:rPr>
      </w:pPr>
      <w:r>
        <w:rPr>
          <w:w w:val="80"/>
          <w:lang w:val="pl-PL" w:bidi="pl-PL"/>
        </w:rPr>
        <w:t xml:space="preserve">MOŻLIWE </w:t>
      </w:r>
      <w:r>
        <w:rPr>
          <w:spacing w:val="-2"/>
          <w:w w:val="95"/>
          <w:lang w:val="pl-PL" w:bidi="pl-PL"/>
        </w:rPr>
        <w:t>POWIKŁANIA</w:t>
      </w:r>
    </w:p>
    <w:p w14:paraId="791B4419" w14:textId="77777777" w:rsidR="00556B85" w:rsidRPr="00BC5106" w:rsidRDefault="003154D9">
      <w:pPr>
        <w:pStyle w:val="BodyText"/>
        <w:spacing w:before="18" w:line="283" w:lineRule="auto"/>
        <w:ind w:right="175"/>
        <w:jc w:val="both"/>
        <w:rPr>
          <w:lang w:val="pl-PL"/>
        </w:rPr>
      </w:pPr>
      <w:r>
        <w:rPr>
          <w:w w:val="110"/>
          <w:lang w:val="pl-PL" w:bidi="pl-PL"/>
        </w:rPr>
        <w:t xml:space="preserve">Potencjalne powikłania obejmują wszystkie czynności, w których ciało jest narażone na duży wysiłek fizyczny, którego należy unikać bezpośrednio po umieszczeniu elementów protetycznych CoCr28Mo na implantach dentystycznych. Zaleca się, aby lekarz lub upoważniony </w:t>
      </w:r>
      <w:r>
        <w:rPr>
          <w:spacing w:val="-2"/>
          <w:w w:val="110"/>
          <w:lang w:val="pl-PL" w:bidi="pl-PL"/>
        </w:rPr>
        <w:t>personel poinformował pacjenta o środkach ostrożności i potencjalnych powikłaniach wymienionych poniżej, które mogą</w:t>
      </w:r>
      <w:r>
        <w:rPr>
          <w:w w:val="110"/>
          <w:lang w:val="pl-PL" w:bidi="pl-PL"/>
        </w:rPr>
        <w:t xml:space="preserve"> wystąpić w wyniku zabiegu chirurgicznego wszczepienia elementów. Zaleca się również, aby pacjent niezwłocznie skontaktował się z lekarzem w przypadku utraty sprawności implantu lub elementów protetycznych.</w:t>
      </w:r>
    </w:p>
    <w:p w14:paraId="26105E4E" w14:textId="77777777" w:rsidR="00556B85" w:rsidRPr="00BC5106" w:rsidRDefault="003154D9">
      <w:pPr>
        <w:pStyle w:val="BodyText"/>
        <w:spacing w:line="201" w:lineRule="exact"/>
        <w:jc w:val="both"/>
        <w:rPr>
          <w:lang w:val="pl-PL"/>
        </w:rPr>
      </w:pPr>
      <w:r>
        <w:rPr>
          <w:w w:val="105"/>
          <w:lang w:val="pl-PL" w:bidi="pl-PL"/>
        </w:rPr>
        <w:t xml:space="preserve">Potencjalne skutki uboczne i tymczasowe objawy to: ból, obrzęk, trudności fonetyczne, zapalenie </w:t>
      </w:r>
      <w:r>
        <w:rPr>
          <w:spacing w:val="-2"/>
          <w:w w:val="105"/>
          <w:lang w:val="pl-PL" w:bidi="pl-PL"/>
        </w:rPr>
        <w:t>dziąseł</w:t>
      </w:r>
      <w:r>
        <w:rPr>
          <w:w w:val="105"/>
          <w:lang w:val="pl-PL" w:bidi="pl-PL"/>
        </w:rPr>
        <w:t>.</w:t>
      </w:r>
    </w:p>
    <w:p w14:paraId="5CFEAD7A" w14:textId="77777777" w:rsidR="00556B85" w:rsidRPr="00BC5106" w:rsidRDefault="003154D9">
      <w:pPr>
        <w:pStyle w:val="BodyText"/>
        <w:spacing w:before="36" w:line="283" w:lineRule="auto"/>
        <w:ind w:right="175"/>
        <w:jc w:val="both"/>
        <w:rPr>
          <w:spacing w:val="-8"/>
          <w:lang w:val="pl-PL"/>
        </w:rPr>
      </w:pPr>
      <w:r w:rsidRPr="00BC5106">
        <w:rPr>
          <w:spacing w:val="-8"/>
          <w:w w:val="105"/>
          <w:lang w:val="pl-PL" w:bidi="pl-PL"/>
        </w:rPr>
        <w:t>Bardziej uporczywe objawy: ryzyko i powikłania związane z implantami obejmują m.in.: (1) przewlekły ból związany z implantem i jego protezą, (2) deglutacja, (3) trwałe parestezje, (4) dysestezja, (5) miejscowa lub ogólnoustrojowa infekcja, (6) przetoki ustno-zatokowe lub ustno-nosowe, (7) złamanie żuchwy lub protezy, (8) problem estetyczny, (9) uszkodzenie nerwów, (10) łuszczenie się i (11) hiperplazja.</w:t>
      </w:r>
    </w:p>
    <w:p w14:paraId="315204AD" w14:textId="77777777" w:rsidR="00556B85" w:rsidRPr="00BC5106" w:rsidRDefault="00556B85">
      <w:pPr>
        <w:pStyle w:val="BodyText"/>
        <w:spacing w:before="2"/>
        <w:ind w:left="0"/>
        <w:rPr>
          <w:lang w:val="pl-PL"/>
        </w:rPr>
      </w:pPr>
    </w:p>
    <w:p w14:paraId="328A3525" w14:textId="77777777" w:rsidR="00556B85" w:rsidRPr="00BC5106" w:rsidRDefault="003154D9">
      <w:pPr>
        <w:pStyle w:val="Heading1"/>
        <w:spacing w:line="247" w:lineRule="exact"/>
        <w:rPr>
          <w:lang w:val="pl-PL"/>
        </w:rPr>
      </w:pPr>
      <w:r>
        <w:rPr>
          <w:spacing w:val="-2"/>
          <w:w w:val="90"/>
          <w:lang w:val="pl-PL" w:bidi="pl-PL"/>
        </w:rPr>
        <w:t>OSTRZEŻENIA/ŚRODKI OSTROŻNOŚCI</w:t>
      </w:r>
    </w:p>
    <w:p w14:paraId="7B258D2D" w14:textId="77777777" w:rsidR="00556B85" w:rsidRPr="00BC5106" w:rsidRDefault="003154D9">
      <w:pPr>
        <w:pStyle w:val="BodyText"/>
        <w:spacing w:line="247" w:lineRule="exact"/>
        <w:jc w:val="both"/>
        <w:rPr>
          <w:lang w:val="pl-PL"/>
        </w:rPr>
      </w:pPr>
      <w:r>
        <w:rPr>
          <w:rFonts w:ascii="Arial Black" w:eastAsia="Arial Black" w:hAnsi="Arial Black" w:cs="Arial Black"/>
          <w:spacing w:val="-4"/>
          <w:lang w:val="pl-PL" w:bidi="pl-PL"/>
        </w:rPr>
        <w:t xml:space="preserve">Zawiera substancje niebezpieczne sklasyfikowane jako CMR </w:t>
      </w:r>
      <w:r>
        <w:rPr>
          <w:spacing w:val="-4"/>
          <w:lang w:val="pl-PL" w:bidi="pl-PL"/>
        </w:rPr>
        <w:t>(rakotwórcze, mutagenne lub działające szkodliwie na rozrodczość):</w:t>
      </w:r>
    </w:p>
    <w:p w14:paraId="6AA5F526" w14:textId="77777777" w:rsidR="00556B85" w:rsidRPr="00BC5106" w:rsidRDefault="00556B85">
      <w:pPr>
        <w:pStyle w:val="BodyText"/>
        <w:spacing w:before="54"/>
        <w:ind w:left="0"/>
        <w:rPr>
          <w:lang w:val="pl-PL"/>
        </w:rPr>
      </w:pPr>
    </w:p>
    <w:p w14:paraId="7BBAB21B" w14:textId="77777777" w:rsidR="00556B85" w:rsidRPr="00BC5106" w:rsidRDefault="003154D9">
      <w:pPr>
        <w:pStyle w:val="BodyText"/>
        <w:rPr>
          <w:lang w:val="pl-PL"/>
        </w:rPr>
      </w:pPr>
      <w:r>
        <w:rPr>
          <w:lang w:val="pl-PL" w:bidi="pl-PL"/>
        </w:rPr>
        <w:t>Co = 65,9</w:t>
      </w:r>
      <w:r>
        <w:rPr>
          <w:spacing w:val="-10"/>
          <w:lang w:val="pl-PL" w:bidi="pl-PL"/>
        </w:rPr>
        <w:t>%</w:t>
      </w:r>
    </w:p>
    <w:p w14:paraId="444FA6F3" w14:textId="77777777" w:rsidR="00556B85" w:rsidRPr="00BC5106" w:rsidRDefault="00556B85">
      <w:pPr>
        <w:rPr>
          <w:lang w:val="pl-PL"/>
        </w:rPr>
        <w:sectPr w:rsidR="00556B85" w:rsidRPr="00BC5106">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BC5106" w:rsidRDefault="00556B85">
      <w:pPr>
        <w:pStyle w:val="BodyText"/>
        <w:spacing w:before="39"/>
        <w:ind w:left="0"/>
        <w:rPr>
          <w:lang w:val="pl-PL"/>
        </w:rPr>
      </w:pPr>
    </w:p>
    <w:p w14:paraId="17C447F3" w14:textId="77777777" w:rsidR="00556B85" w:rsidRPr="00BC5106" w:rsidRDefault="003154D9">
      <w:pPr>
        <w:pStyle w:val="BodyText"/>
        <w:spacing w:line="283" w:lineRule="auto"/>
        <w:ind w:right="175"/>
        <w:jc w:val="both"/>
        <w:rPr>
          <w:lang w:val="pl-PL"/>
        </w:rPr>
      </w:pPr>
      <w:r>
        <w:rPr>
          <w:w w:val="105"/>
          <w:lang w:val="pl-PL" w:bidi="pl-PL"/>
        </w:rPr>
        <w:t>Łączniki Advan CoCr28Mo są częścią ogólnej koncepcji i powinny być stosowane wyłącznie z oryginalnymi implantami i narzędziami chirurgicznymi, zgodnie z instrukcjami i zaleceniami zawartymi w odpowiedniej instrukcji chirurgicznej.</w:t>
      </w:r>
    </w:p>
    <w:p w14:paraId="6008FCAF" w14:textId="77777777" w:rsidR="00556B85" w:rsidRPr="00BC5106" w:rsidRDefault="003154D9">
      <w:pPr>
        <w:pStyle w:val="BodyText"/>
        <w:spacing w:line="283" w:lineRule="auto"/>
        <w:ind w:right="175"/>
        <w:jc w:val="both"/>
        <w:rPr>
          <w:lang w:val="pl-PL"/>
        </w:rPr>
      </w:pPr>
      <w:r>
        <w:rPr>
          <w:w w:val="105"/>
          <w:lang w:val="pl-PL" w:bidi="pl-PL"/>
        </w:rPr>
        <w:t>Pacjenci mogą połknąć lub zassać element; aby uniknąć zassania lub połknięcia należy się upewnić, że śrubokręt i śruba są prawidłowo połączone. Protezę implantu należy wykonywać wyłącznie przy użyciu elementów wtórnych i części Advan kompatybilnych z użytym implantem. Nieprzestrzeganie procedur opisanych w niniejszych instrukcjach może skutkować jednym lub wszystkimi z poniższych powikłań:</w:t>
      </w:r>
    </w:p>
    <w:p w14:paraId="2EFDAC65" w14:textId="3590FD00" w:rsidR="00BC5106" w:rsidRDefault="00A042E4">
      <w:pPr>
        <w:pStyle w:val="BodyText"/>
        <w:spacing w:line="283" w:lineRule="auto"/>
        <w:ind w:left="188" w:right="8303"/>
        <w:rPr>
          <w:spacing w:val="-2"/>
          <w:w w:val="110"/>
          <w:lang w:val="pl-PL" w:bidi="pl-PL"/>
        </w:rPr>
      </w:pPr>
      <w:r>
        <w:pict w14:anchorId="77EC0BE3">
          <v:shape id="Image 23" o:spid="_x0000_i1026" type="#_x0000_t75" style="width:3pt;height:3pt;visibility:visible;mso-wrap-style:square">
            <v:imagedata r:id="rId10" o:title=""/>
            <o:lock v:ext="edit" aspectratio="f"/>
          </v:shape>
        </w:pict>
      </w:r>
      <w:r w:rsidR="003154D9">
        <w:rPr>
          <w:rFonts w:ascii="Times New Roman" w:eastAsia="Times New Roman" w:hAnsi="Times New Roman" w:cs="Times New Roman"/>
          <w:spacing w:val="67"/>
          <w:w w:val="110"/>
          <w:sz w:val="20"/>
          <w:lang w:val="pl-PL" w:bidi="pl-PL"/>
        </w:rPr>
        <w:t xml:space="preserve"> </w:t>
      </w:r>
      <w:r w:rsidR="003154D9">
        <w:rPr>
          <w:spacing w:val="-2"/>
          <w:w w:val="110"/>
          <w:lang w:val="pl-PL" w:bidi="pl-PL"/>
        </w:rPr>
        <w:t xml:space="preserve">zassanie elementu, </w:t>
      </w:r>
    </w:p>
    <w:p w14:paraId="45E42E36" w14:textId="748259E4" w:rsidR="00BC5106" w:rsidRDefault="00A042E4">
      <w:pPr>
        <w:pStyle w:val="BodyText"/>
        <w:spacing w:line="283" w:lineRule="auto"/>
        <w:ind w:left="188" w:right="8303"/>
        <w:rPr>
          <w:w w:val="110"/>
          <w:lang w:val="pl-PL" w:bidi="pl-PL"/>
        </w:rPr>
      </w:pPr>
      <w:r>
        <w:pict w14:anchorId="1987F15F">
          <v:shape id="Image 24" o:spid="_x0000_i1027" type="#_x0000_t75" style="width:3pt;height:3pt;visibility:visible;mso-wrap-style:square">
            <v:imagedata r:id="rId10" o:title=""/>
            <o:lock v:ext="edit" aspectratio="f"/>
          </v:shape>
        </w:pict>
      </w:r>
      <w:r w:rsidR="00BC5106">
        <w:t xml:space="preserve">  </w:t>
      </w:r>
      <w:r w:rsidR="003154D9">
        <w:rPr>
          <w:w w:val="110"/>
          <w:lang w:val="pl-PL" w:bidi="pl-PL"/>
        </w:rPr>
        <w:t>połknięcie elementu</w:t>
      </w:r>
    </w:p>
    <w:p w14:paraId="53D2A362" w14:textId="7867EC61" w:rsidR="00556B85" w:rsidRDefault="003154D9">
      <w:pPr>
        <w:pStyle w:val="BodyText"/>
        <w:spacing w:line="283" w:lineRule="auto"/>
        <w:ind w:left="188" w:right="8303"/>
      </w:pPr>
      <w:r>
        <w:rPr>
          <w:noProof/>
          <w:position w:val="3"/>
          <w:lang w:val="pl-PL" w:bidi="pl-PL"/>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pl-PL" w:bidi="pl-PL"/>
        </w:rPr>
        <w:t>, leczenie uzupełniające.</w:t>
      </w:r>
    </w:p>
    <w:p w14:paraId="52D2D053" w14:textId="77777777" w:rsidR="00556B85" w:rsidRPr="00BC5106" w:rsidRDefault="003154D9">
      <w:pPr>
        <w:pStyle w:val="BodyText"/>
        <w:spacing w:line="283" w:lineRule="auto"/>
        <w:ind w:right="175"/>
        <w:jc w:val="both"/>
        <w:rPr>
          <w:lang w:val="pl-PL"/>
        </w:rPr>
      </w:pPr>
      <w:r>
        <w:rPr>
          <w:w w:val="105"/>
          <w:lang w:val="pl-PL" w:bidi="pl-PL"/>
        </w:rPr>
        <w:t>Elementy protetyczne Advan CoCr28Mo są wyrobami jednorazowego użytku. Należy umieścić „artefakt” protetyczny na implancie z okluzją tylko wtedy, gdy implant zębowy jest w pełni osseointegrowalny. Produkty zawierające elementy z tworzywa sztucznego (POM) należy przechowywać z dala od bezpośredniego światła słonecznego. Temperatura topnienia wyżej wymienionych stopów jest taka, że podstawa jest chroniona przed zmianami wymiarowymi podczas odlewania części do wypalenia.</w:t>
      </w:r>
    </w:p>
    <w:p w14:paraId="7C8EE54D" w14:textId="77777777" w:rsidR="00556B85" w:rsidRPr="00BC5106" w:rsidRDefault="003154D9">
      <w:pPr>
        <w:pStyle w:val="Heading1"/>
        <w:spacing w:before="200"/>
        <w:rPr>
          <w:lang w:val="pl-PL"/>
        </w:rPr>
      </w:pPr>
      <w:r>
        <w:rPr>
          <w:w w:val="85"/>
          <w:lang w:val="pl-PL" w:bidi="pl-PL"/>
        </w:rPr>
        <w:t xml:space="preserve">INFORMACJE O </w:t>
      </w:r>
      <w:r>
        <w:rPr>
          <w:spacing w:val="-2"/>
          <w:w w:val="85"/>
          <w:lang w:val="pl-PL" w:bidi="pl-PL"/>
        </w:rPr>
        <w:t>KOMPATYBILNOŚCI</w:t>
      </w:r>
    </w:p>
    <w:p w14:paraId="10FFC36C" w14:textId="1343594A" w:rsidR="00556B85" w:rsidRPr="00BC5106" w:rsidRDefault="003154D9" w:rsidP="006439BE">
      <w:pPr>
        <w:pStyle w:val="BodyText"/>
        <w:spacing w:before="18" w:after="120" w:line="283" w:lineRule="auto"/>
        <w:ind w:right="175"/>
        <w:jc w:val="both"/>
        <w:rPr>
          <w:lang w:val="pl-PL"/>
        </w:rPr>
      </w:pPr>
      <w:r>
        <w:rPr>
          <w:w w:val="105"/>
          <w:lang w:val="pl-PL" w:bidi="pl-PL"/>
        </w:rPr>
        <w:t>Implanty zębowe i zygomatyczne (jarzmowe) Advan oraz linie protetyczne są dostępne w wielu konfiguracjach. Symbole na etykiecie dołączonej do każdego produktu ułatwiają identyfikację kompatybilności danego elementu wtórnego z wykonywam implantem. Nazwa implantu i elementu protetycznego zawiera identyfikator połączenia, podsumowany w poniższej tabeli.</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1B0A88" w14:paraId="2E03EF67" w14:textId="77777777" w:rsidTr="006439BE">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pl-PL" w:bidi="pl-PL"/>
              </w:rPr>
              <w:t>Połączenie</w:t>
            </w:r>
          </w:p>
        </w:tc>
        <w:tc>
          <w:tcPr>
            <w:tcW w:w="3398"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pl-PL" w:bidi="pl-PL"/>
              </w:rPr>
              <w:t>Wskazanie kompatybilności</w:t>
            </w:r>
          </w:p>
        </w:tc>
      </w:tr>
      <w:tr w:rsidR="006439BE" w:rsidRPr="001B0A88"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pl-PL" w:bidi="pl-PL"/>
              </w:rPr>
              <w:t>Implant GTB</w:t>
            </w:r>
          </w:p>
        </w:tc>
        <w:tc>
          <w:tcPr>
            <w:tcW w:w="3398"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pl-PL" w:bidi="pl-PL"/>
              </w:rPr>
              <w:t>Element protetyczny GTB</w:t>
            </w:r>
          </w:p>
        </w:tc>
      </w:tr>
      <w:tr w:rsidR="006439BE" w:rsidRPr="001B0A88"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pl-PL" w:bidi="pl-PL"/>
              </w:rPr>
              <w:t>Implant ONE CONICAL</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pl-PL" w:bidi="pl-PL"/>
              </w:rPr>
              <w:t>Element protetyczny ONE CONICAL</w:t>
            </w:r>
          </w:p>
        </w:tc>
      </w:tr>
      <w:tr w:rsidR="006439BE" w:rsidRPr="001B0A88"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pl-PL" w:bidi="pl-PL"/>
              </w:rPr>
              <w:t>Implant ONE INTERNAL</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pl-PL" w:bidi="pl-PL"/>
              </w:rPr>
              <w:t>Element protetyczny ONE INTERNAL</w:t>
            </w:r>
          </w:p>
        </w:tc>
      </w:tr>
      <w:tr w:rsidR="006439BE" w:rsidRPr="001B0A88"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pl-PL" w:bidi="pl-PL"/>
              </w:rPr>
              <w:t>Implant MARK</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pl-PL" w:bidi="pl-PL"/>
              </w:rPr>
              <w:t>Element protetyczny MARK</w:t>
            </w:r>
          </w:p>
        </w:tc>
      </w:tr>
      <w:tr w:rsidR="006439BE" w:rsidRPr="001B0A88"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pl-PL" w:bidi="pl-PL"/>
              </w:rPr>
              <w:t>Implant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pl-PL" w:bidi="pl-PL"/>
              </w:rPr>
              <w:t>Element protetyczny SyEASY</w:t>
            </w:r>
          </w:p>
        </w:tc>
      </w:tr>
      <w:tr w:rsidR="006439BE" w:rsidRPr="001B0A88"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pl-PL" w:bidi="pl-PL"/>
              </w:rPr>
              <w:t>Implant miniMAX</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pl-PL" w:bidi="pl-PL"/>
              </w:rPr>
              <w:t>Element protetyczny miniMAX</w:t>
            </w:r>
          </w:p>
        </w:tc>
      </w:tr>
      <w:tr w:rsidR="006439BE" w:rsidRPr="001B0A88"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pl-PL" w:bidi="pl-PL"/>
              </w:rPr>
              <w:t>Implant ZYGOMA</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pl-PL" w:bidi="pl-PL"/>
              </w:rPr>
              <w:t>Element protetyczny ZYGOMA</w:t>
            </w:r>
          </w:p>
        </w:tc>
      </w:tr>
      <w:tr w:rsidR="006439BE" w:rsidRPr="001B0A88"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pl-PL" w:bidi="pl-PL"/>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pl-PL" w:bidi="pl-PL"/>
              </w:rPr>
              <w:t>Element protetyczny GFA</w:t>
            </w:r>
          </w:p>
        </w:tc>
      </w:tr>
      <w:tr w:rsidR="006439BE" w:rsidRPr="001B0A88"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pl-PL" w:bidi="pl-PL"/>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pl-PL" w:bidi="pl-PL"/>
              </w:rPr>
              <w:t>Element protetyczny MUA</w:t>
            </w:r>
          </w:p>
        </w:tc>
      </w:tr>
    </w:tbl>
    <w:p w14:paraId="3EF8B0DE" w14:textId="71C6EB2F" w:rsidR="00556B85" w:rsidRDefault="00556B85">
      <w:pPr>
        <w:pStyle w:val="BodyText"/>
        <w:spacing w:before="116"/>
        <w:ind w:left="0"/>
      </w:pPr>
    </w:p>
    <w:p w14:paraId="65A61C0C" w14:textId="77777777" w:rsidR="00556B85" w:rsidRDefault="003154D9">
      <w:pPr>
        <w:pStyle w:val="Heading1"/>
        <w:jc w:val="both"/>
      </w:pPr>
      <w:r>
        <w:rPr>
          <w:w w:val="80"/>
          <w:lang w:val="pl-PL" w:bidi="pl-PL"/>
        </w:rPr>
        <w:t xml:space="preserve">CZYSZCZENIE I </w:t>
      </w:r>
      <w:r>
        <w:rPr>
          <w:spacing w:val="-2"/>
          <w:w w:val="80"/>
          <w:lang w:val="pl-PL" w:bidi="pl-PL"/>
        </w:rPr>
        <w:t>STERYLIZACJA</w:t>
      </w:r>
    </w:p>
    <w:p w14:paraId="308EEBAD" w14:textId="77777777" w:rsidR="00556B85" w:rsidRPr="00BC5106" w:rsidRDefault="003154D9">
      <w:pPr>
        <w:pStyle w:val="BodyText"/>
        <w:spacing w:before="18" w:line="283" w:lineRule="auto"/>
        <w:ind w:right="175"/>
        <w:jc w:val="both"/>
        <w:rPr>
          <w:lang w:val="pl-PL"/>
        </w:rPr>
      </w:pPr>
      <w:r>
        <w:rPr>
          <w:w w:val="105"/>
          <w:lang w:val="pl-PL" w:bidi="pl-PL"/>
        </w:rPr>
        <w:t>Elementy protetyczne CoCr28Mo są sprzedawane w postaci niesterylnej. Przed wprowadzeniem wypełnienia do jamy ustnej pacjenta produkt należy rozłożyć na poszczególne części, wyczyścić i wysterylizować. Advan zaleca, aby przed użyciem przeprowadzić następującą procedurę czyszczenia i sterylizacji elementów protetycznych.</w:t>
      </w:r>
    </w:p>
    <w:p w14:paraId="75F4143A" w14:textId="77777777" w:rsidR="00556B85" w:rsidRDefault="003154D9">
      <w:pPr>
        <w:pStyle w:val="ListParagraph"/>
        <w:numPr>
          <w:ilvl w:val="0"/>
          <w:numId w:val="1"/>
        </w:numPr>
        <w:tabs>
          <w:tab w:val="left" w:pos="337"/>
        </w:tabs>
        <w:spacing w:line="283" w:lineRule="auto"/>
        <w:ind w:firstLine="0"/>
        <w:rPr>
          <w:sz w:val="18"/>
        </w:rPr>
      </w:pPr>
      <w:r>
        <w:rPr>
          <w:w w:val="105"/>
          <w:sz w:val="18"/>
          <w:lang w:val="pl-PL" w:bidi="pl-PL"/>
        </w:rPr>
        <w:t>Umieścić elementy protetyczne w odpowiednim roztworze wysokiej jakości detergentu enzymatycznego (ENZYMAX®, 0,8% v/v z wodą demineralizowaną) w temperaturze 35°C w odpowiednim naczyniu (np. zlewka); elementy protetyczne powinny być całkowicie pokryte roztworem. Odczekać 10 minut przed wyjęciem.</w:t>
      </w:r>
    </w:p>
    <w:p w14:paraId="2FB8E0BE" w14:textId="77777777" w:rsidR="00556B85" w:rsidRDefault="00556B85">
      <w:pPr>
        <w:pStyle w:val="BodyText"/>
        <w:spacing w:before="32"/>
        <w:ind w:left="0"/>
      </w:pPr>
    </w:p>
    <w:p w14:paraId="6292B39C" w14:textId="77777777" w:rsidR="00556B85" w:rsidRDefault="003154D9">
      <w:pPr>
        <w:pStyle w:val="ListParagraph"/>
        <w:numPr>
          <w:ilvl w:val="0"/>
          <w:numId w:val="1"/>
        </w:numPr>
        <w:tabs>
          <w:tab w:val="left" w:pos="360"/>
        </w:tabs>
        <w:spacing w:before="1" w:line="283" w:lineRule="auto"/>
        <w:ind w:firstLine="0"/>
        <w:rPr>
          <w:sz w:val="18"/>
        </w:rPr>
      </w:pPr>
      <w:r>
        <w:rPr>
          <w:w w:val="105"/>
          <w:sz w:val="18"/>
          <w:lang w:val="pl-PL" w:bidi="pl-PL"/>
        </w:rPr>
        <w:t>Dokładnie wypłukać elementy protetyczne pod bieżącą lub destylowaną wodą, aby usunąć wszelkie ślady detergentów (np. enzymatycznych).</w:t>
      </w:r>
    </w:p>
    <w:p w14:paraId="310158AA" w14:textId="77777777" w:rsidR="00556B85" w:rsidRDefault="003154D9">
      <w:pPr>
        <w:pStyle w:val="BodyText"/>
        <w:spacing w:line="220" w:lineRule="exact"/>
      </w:pPr>
      <w:r>
        <w:rPr>
          <w:rFonts w:ascii="Arial Black" w:eastAsia="Arial Black" w:hAnsi="Arial Black" w:cs="Arial Black"/>
          <w:w w:val="105"/>
          <w:lang w:val="pl-PL" w:bidi="pl-PL"/>
        </w:rPr>
        <w:t xml:space="preserve">Ostrzeżenie: </w:t>
      </w:r>
      <w:r>
        <w:rPr>
          <w:w w:val="105"/>
          <w:lang w:val="pl-PL" w:bidi="pl-PL"/>
        </w:rPr>
        <w:t xml:space="preserve">Należy używać sterylnej wody, chyba że woda pitna jest nisko zanieczyszczona (spełniająca następujące </w:t>
      </w:r>
      <w:r>
        <w:rPr>
          <w:spacing w:val="-2"/>
          <w:w w:val="105"/>
          <w:lang w:val="pl-PL" w:bidi="pl-PL"/>
        </w:rPr>
        <w:t>wymagania</w:t>
      </w:r>
    </w:p>
    <w:p w14:paraId="1BB3484D" w14:textId="77777777" w:rsidR="00556B85" w:rsidRDefault="003154D9">
      <w:pPr>
        <w:pStyle w:val="BodyText"/>
        <w:spacing w:before="18"/>
      </w:pPr>
      <w:r>
        <w:rPr>
          <w:w w:val="105"/>
          <w:lang w:val="pl-PL" w:bidi="pl-PL"/>
        </w:rPr>
        <w:t>Farmakopea Europejska monografia 0169: maks. 10 mikroorganizmów/ml, maks. 0,25</w:t>
      </w:r>
      <w:r>
        <w:rPr>
          <w:spacing w:val="-2"/>
          <w:w w:val="105"/>
          <w:lang w:val="pl-PL" w:bidi="pl-PL"/>
        </w:rPr>
        <w:t xml:space="preserve"> endotoksyn/ml).</w:t>
      </w:r>
    </w:p>
    <w:p w14:paraId="47E983F2" w14:textId="77777777" w:rsidR="00556B85" w:rsidRDefault="00556B85">
      <w:pPr>
        <w:pStyle w:val="BodyText"/>
        <w:spacing w:before="72"/>
        <w:ind w:left="0"/>
      </w:pPr>
    </w:p>
    <w:p w14:paraId="6477A9D0" w14:textId="77777777" w:rsidR="00556B85" w:rsidRDefault="003154D9">
      <w:pPr>
        <w:pStyle w:val="ListParagraph"/>
        <w:numPr>
          <w:ilvl w:val="0"/>
          <w:numId w:val="1"/>
        </w:numPr>
        <w:tabs>
          <w:tab w:val="left" w:pos="366"/>
        </w:tabs>
        <w:spacing w:line="283" w:lineRule="auto"/>
        <w:ind w:firstLine="0"/>
        <w:rPr>
          <w:sz w:val="18"/>
        </w:rPr>
      </w:pPr>
      <w:r>
        <w:rPr>
          <w:w w:val="105"/>
          <w:sz w:val="18"/>
          <w:lang w:val="pl-PL" w:bidi="pl-PL"/>
        </w:rPr>
        <w:t>Umieścić elementy protetyczne w roztworze jak w kroku 1 w odpowiednim naczyniu (np. zlewce), naczynie umieścić w myjce ultradźwiękowej na 10 minut w temperaturze 35°C.</w:t>
      </w:r>
    </w:p>
    <w:p w14:paraId="5DBA74AA" w14:textId="77777777" w:rsidR="00556B85" w:rsidRDefault="003154D9">
      <w:pPr>
        <w:pStyle w:val="BodyText"/>
        <w:spacing w:line="220" w:lineRule="exact"/>
      </w:pPr>
      <w:r>
        <w:rPr>
          <w:rFonts w:ascii="Arial Black" w:eastAsia="Arial Black" w:hAnsi="Arial Black" w:cs="Arial Black"/>
          <w:lang w:val="pl-PL" w:bidi="pl-PL"/>
        </w:rPr>
        <w:t xml:space="preserve">Uwaga: </w:t>
      </w:r>
      <w:r>
        <w:rPr>
          <w:lang w:val="pl-PL" w:bidi="pl-PL"/>
        </w:rPr>
        <w:t>elementy protetyczne należy odpowiednio rozstawić, aby zapobiec ich zderzaniu się</w:t>
      </w:r>
      <w:r>
        <w:rPr>
          <w:spacing w:val="-10"/>
          <w:lang w:val="pl-PL" w:bidi="pl-PL"/>
        </w:rPr>
        <w:t xml:space="preserve"> </w:t>
      </w:r>
      <w:r>
        <w:rPr>
          <w:lang w:val="pl-PL" w:bidi="pl-PL"/>
        </w:rPr>
        <w:t xml:space="preserve"> z</w:t>
      </w:r>
    </w:p>
    <w:p w14:paraId="551A915F" w14:textId="77777777" w:rsidR="00556B85" w:rsidRDefault="003154D9">
      <w:pPr>
        <w:pStyle w:val="BodyText"/>
        <w:spacing w:before="18"/>
      </w:pPr>
      <w:r>
        <w:rPr>
          <w:w w:val="105"/>
          <w:lang w:val="pl-PL" w:bidi="pl-PL"/>
        </w:rPr>
        <w:t xml:space="preserve">pojemnikiem; wskazane jest użycie odpowiednich naczyń (np. takich jak </w:t>
      </w:r>
      <w:r>
        <w:rPr>
          <w:spacing w:val="-2"/>
          <w:w w:val="105"/>
          <w:lang w:val="pl-PL" w:bidi="pl-PL"/>
        </w:rPr>
        <w:t>zlewki).</w:t>
      </w:r>
    </w:p>
    <w:p w14:paraId="7747CDC3" w14:textId="77777777" w:rsidR="00556B85" w:rsidRDefault="00556B85">
      <w:pPr>
        <w:pStyle w:val="BodyText"/>
        <w:spacing w:before="72"/>
        <w:ind w:left="0"/>
      </w:pPr>
    </w:p>
    <w:p w14:paraId="18ADB365" w14:textId="77777777" w:rsidR="00556B85" w:rsidRDefault="003154D9">
      <w:pPr>
        <w:pStyle w:val="ListParagraph"/>
        <w:numPr>
          <w:ilvl w:val="0"/>
          <w:numId w:val="1"/>
        </w:numPr>
        <w:tabs>
          <w:tab w:val="left" w:pos="360"/>
        </w:tabs>
        <w:spacing w:line="283" w:lineRule="auto"/>
        <w:ind w:firstLine="0"/>
        <w:rPr>
          <w:sz w:val="18"/>
        </w:rPr>
      </w:pPr>
      <w:r>
        <w:rPr>
          <w:w w:val="105"/>
          <w:sz w:val="18"/>
          <w:lang w:val="pl-PL" w:bidi="pl-PL"/>
        </w:rPr>
        <w:t>Dokładnie wypłukać elementy protetyczne pod bieżącą lub destylowaną wodą, aby usunąć wszelkie ślady detergentów (np. enzymatycznych).</w:t>
      </w:r>
    </w:p>
    <w:p w14:paraId="5AC7DF6A" w14:textId="77777777" w:rsidR="00556B85" w:rsidRDefault="003154D9">
      <w:pPr>
        <w:pStyle w:val="BodyText"/>
        <w:spacing w:line="220" w:lineRule="exact"/>
      </w:pPr>
      <w:r>
        <w:rPr>
          <w:rFonts w:ascii="Arial Black" w:eastAsia="Arial Black" w:hAnsi="Arial Black" w:cs="Arial Black"/>
          <w:w w:val="105"/>
          <w:lang w:val="pl-PL" w:bidi="pl-PL"/>
        </w:rPr>
        <w:t xml:space="preserve">Ostrzeżenie: </w:t>
      </w:r>
      <w:r>
        <w:rPr>
          <w:w w:val="105"/>
          <w:lang w:val="pl-PL" w:bidi="pl-PL"/>
        </w:rPr>
        <w:t xml:space="preserve">Należy używać sterylnej wody, chyba że woda pitna jest nisko zanieczyszczona (spełniająca następujące </w:t>
      </w:r>
      <w:r>
        <w:rPr>
          <w:spacing w:val="-2"/>
          <w:w w:val="105"/>
          <w:lang w:val="pl-PL" w:bidi="pl-PL"/>
        </w:rPr>
        <w:t xml:space="preserve">wymagania </w:t>
      </w:r>
    </w:p>
    <w:p w14:paraId="40D2C86A" w14:textId="77777777" w:rsidR="00556B85" w:rsidRDefault="003154D9">
      <w:pPr>
        <w:pStyle w:val="BodyText"/>
        <w:spacing w:before="18"/>
      </w:pPr>
      <w:r>
        <w:rPr>
          <w:w w:val="105"/>
          <w:lang w:val="pl-PL" w:bidi="pl-PL"/>
        </w:rPr>
        <w:t>Farmakopea Europejska monografia 0169: maks. 10 mikroorganizmów/ml, maks. 0,25</w:t>
      </w:r>
      <w:r>
        <w:rPr>
          <w:spacing w:val="-2"/>
          <w:w w:val="105"/>
          <w:lang w:val="pl-PL" w:bidi="pl-PL"/>
        </w:rPr>
        <w:t xml:space="preserve"> endotoksyn/ml).</w:t>
      </w:r>
    </w:p>
    <w:p w14:paraId="715F5B5A" w14:textId="77777777" w:rsidR="00556B85" w:rsidRDefault="00556B85">
      <w:pPr>
        <w:sectPr w:rsidR="00556B85">
          <w:pgSz w:w="11900" w:h="16850"/>
          <w:pgMar w:top="1020" w:right="260" w:bottom="880" w:left="320" w:header="0" w:footer="683" w:gutter="0"/>
          <w:cols w:space="720"/>
        </w:sectPr>
      </w:pPr>
    </w:p>
    <w:p w14:paraId="72408B85" w14:textId="77777777" w:rsidR="00556B85" w:rsidRDefault="003154D9">
      <w:pPr>
        <w:pStyle w:val="BodyText"/>
        <w:spacing w:before="187"/>
        <w:ind w:left="0"/>
      </w:pPr>
      <w:r>
        <w:rPr>
          <w:noProof/>
          <w:lang w:val="pl-PL" w:bidi="pl-PL"/>
        </w:rPr>
        <w:lastRenderedPageBreak/>
        <w:drawing>
          <wp:anchor distT="0" distB="0" distL="0" distR="0" simplePos="0" relativeHeight="15736832" behindDoc="0" locked="0" layoutInCell="1" allowOverlap="1" wp14:anchorId="100307B8" wp14:editId="13C82612">
            <wp:simplePos x="0" y="0"/>
            <wp:positionH relativeFrom="page">
              <wp:posOffset>1651635</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pl-PL" w:bidi="pl-PL"/>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2"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71CBC98F"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3"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Pr="00BC5106" w:rsidRDefault="003154D9">
      <w:pPr>
        <w:pStyle w:val="ListParagraph"/>
        <w:numPr>
          <w:ilvl w:val="0"/>
          <w:numId w:val="1"/>
        </w:numPr>
        <w:tabs>
          <w:tab w:val="left" w:pos="328"/>
        </w:tabs>
        <w:spacing w:line="283" w:lineRule="auto"/>
        <w:ind w:firstLine="0"/>
        <w:rPr>
          <w:sz w:val="18"/>
          <w:lang w:val="pl-PL"/>
        </w:rPr>
      </w:pPr>
      <w:r>
        <w:rPr>
          <w:w w:val="105"/>
          <w:sz w:val="18"/>
          <w:lang w:val="pl-PL" w:bidi="pl-PL"/>
        </w:rPr>
        <w:t>Natychmiast po wyczyszczeniu ręcznym lub najpóźniej w ciągu 30 minut elementy protetyczne należy umieścić w wysokiej jakości roztworze dezynfekującym (PROSEPT® Burs, roztwór gotowy do użycia), wlanym do odpowiedniego naczynia (np. zlewki); elementy protetyczne powinny być całkowicie pokryte roztworem. Przed wyjęciem naczynia należy je umieścić w myjce ultradźwiękowej na 1 minutę w temperaturze 20°C. Należy uważać, aby elementy protetyczne nie stykały się ze sobą.</w:t>
      </w:r>
    </w:p>
    <w:p w14:paraId="690AE0D2" w14:textId="77777777" w:rsidR="00556B85" w:rsidRPr="00BC5106" w:rsidRDefault="003154D9">
      <w:pPr>
        <w:pStyle w:val="BodyText"/>
        <w:spacing w:line="283" w:lineRule="auto"/>
        <w:ind w:right="175"/>
        <w:jc w:val="both"/>
        <w:rPr>
          <w:lang w:val="pl-PL"/>
        </w:rPr>
      </w:pPr>
      <w:r>
        <w:rPr>
          <w:w w:val="105"/>
          <w:lang w:val="pl-PL" w:bidi="pl-PL"/>
        </w:rPr>
        <w:t>Ostrzeżenie: nie zaleca się korzystania z automatycznych urządzeń do czyszczenia i dezynfekcji, ponieważ może to zagrozić integralności narzędzi zawartych w zestawie chirurgicznym z powodu możliwych kolizji, które mogą wystąpić podczas automatycznych faz czyszczenia i dezynfekcji (nie można zagwarantować takiego samego poziomu kontroli, jaki można osiągnąć ręcznie podczas tych etapów).</w:t>
      </w:r>
    </w:p>
    <w:p w14:paraId="615FC9BB" w14:textId="77777777" w:rsidR="00556B85" w:rsidRPr="00BC5106" w:rsidRDefault="00556B85">
      <w:pPr>
        <w:pStyle w:val="BodyText"/>
        <w:spacing w:before="31"/>
        <w:ind w:left="0"/>
        <w:rPr>
          <w:lang w:val="pl-PL"/>
        </w:rPr>
      </w:pPr>
    </w:p>
    <w:p w14:paraId="32CAE4EC" w14:textId="77777777" w:rsidR="00556B85" w:rsidRPr="00BC5106" w:rsidRDefault="003154D9">
      <w:pPr>
        <w:pStyle w:val="ListParagraph"/>
        <w:numPr>
          <w:ilvl w:val="0"/>
          <w:numId w:val="1"/>
        </w:numPr>
        <w:tabs>
          <w:tab w:val="left" w:pos="334"/>
        </w:tabs>
        <w:spacing w:line="283" w:lineRule="auto"/>
        <w:ind w:firstLine="0"/>
        <w:rPr>
          <w:sz w:val="18"/>
          <w:lang w:val="pl-PL"/>
        </w:rPr>
      </w:pPr>
      <w:r>
        <w:rPr>
          <w:w w:val="105"/>
          <w:sz w:val="18"/>
          <w:lang w:val="pl-PL" w:bidi="pl-PL"/>
        </w:rPr>
        <w:t>Najlepszym sposobem suszenia jest sprężone powietrze. Jego działanie umożliwia fizyczne usuwanie wody z powierzchni. Obecność wilgoci na powierzchni elementów protetycznych może sprzyjać rozwojowi bakterii i zagrażać procesowi sterylizacji. Suszenie elementów protetycznych przed przechowywaniem i sterylizacją ma ogromne znaczenie, ponieważ gromadzenie się wilgoci na produktach jest szkodliwe i może powodować utlenianie. Zalecamy dokładne wysuszenie każdego elementu protetycznego za pomocą sprężonego powietrza (zakres 1,5 - 2 bar) przy użyciu wyłącznie przefiltrowanego powietrza (o niskim poziomie zanieczyszczenia mikroorganizmami i cząsteczkami, nie zawierającego oleju zgodnie z następującym wymogiem: Farmakopea Europejska maks. 0,1 mg/m³ oleju). Suszenie ręczne powinno obejmować wystarczającą powierzchnię podparcia, pistolet na sprężone powietrze, ściereczki i chłonny materiał papierowy o niskim uwalnianiu cząstek. Zamiennie należy używać ściereczek, które nie uwalniają włókien ani pyłu. Podczas etapu suszenia należy sprawdzać i kontrolować czystość elementów protetycznych.</w:t>
      </w:r>
    </w:p>
    <w:p w14:paraId="2CBD1158" w14:textId="77777777" w:rsidR="00556B85" w:rsidRPr="00BC5106" w:rsidRDefault="00556B85">
      <w:pPr>
        <w:pStyle w:val="BodyText"/>
        <w:spacing w:before="31"/>
        <w:ind w:left="0"/>
        <w:rPr>
          <w:lang w:val="pl-PL"/>
        </w:rPr>
      </w:pPr>
    </w:p>
    <w:p w14:paraId="6C4F2E1D" w14:textId="77777777" w:rsidR="00556B85" w:rsidRPr="00BC5106" w:rsidRDefault="003154D9">
      <w:pPr>
        <w:pStyle w:val="ListParagraph"/>
        <w:numPr>
          <w:ilvl w:val="0"/>
          <w:numId w:val="1"/>
        </w:numPr>
        <w:tabs>
          <w:tab w:val="left" w:pos="345"/>
        </w:tabs>
        <w:spacing w:line="283" w:lineRule="auto"/>
        <w:ind w:firstLine="0"/>
        <w:rPr>
          <w:sz w:val="18"/>
          <w:lang w:val="pl-PL"/>
        </w:rPr>
      </w:pPr>
      <w:r>
        <w:rPr>
          <w:w w:val="105"/>
          <w:sz w:val="18"/>
          <w:lang w:val="pl-PL" w:bidi="pl-PL"/>
        </w:rPr>
        <w:t>Umieścić elementy protetyczne w torebce do sterylizacji, która spełnia następujące wymagania: EN ISO 11607 (np. papier medyczny), nadającej się do sterylizacji parowej.</w:t>
      </w:r>
    </w:p>
    <w:p w14:paraId="34A903E0" w14:textId="77777777" w:rsidR="00556B85" w:rsidRPr="00BC5106" w:rsidRDefault="00556B85">
      <w:pPr>
        <w:pStyle w:val="BodyText"/>
        <w:spacing w:before="35"/>
        <w:ind w:left="0"/>
        <w:rPr>
          <w:lang w:val="pl-PL"/>
        </w:rPr>
      </w:pPr>
    </w:p>
    <w:p w14:paraId="53066D3C" w14:textId="77777777" w:rsidR="00556B85" w:rsidRPr="00BC5106" w:rsidRDefault="003154D9">
      <w:pPr>
        <w:pStyle w:val="ListParagraph"/>
        <w:numPr>
          <w:ilvl w:val="0"/>
          <w:numId w:val="1"/>
        </w:numPr>
        <w:tabs>
          <w:tab w:val="left" w:pos="311"/>
        </w:tabs>
        <w:spacing w:line="283" w:lineRule="auto"/>
        <w:ind w:firstLine="0"/>
        <w:rPr>
          <w:sz w:val="18"/>
          <w:lang w:val="pl-PL"/>
        </w:rPr>
      </w:pPr>
      <w:r>
        <w:rPr>
          <w:w w:val="105"/>
          <w:sz w:val="18"/>
          <w:lang w:val="pl-PL" w:bidi="pl-PL"/>
        </w:rPr>
        <w:t>Zalecamy stosowanie autoklawu do sterylizacji parowej elementów protetycznych, który spełnia następujące wymagania: seria EN ISO 17665. Należy dokładnie przestrzegać instrukcji i zaleceń producenta autoklawu. Należy postępować zgodnie z instrukcjami dotyczącymi konserwacji i kalibracji autoklawu. Zgodnie z normą EN ISO 17665 potwierdzono, że jeden cykl sterylizacji (przy użyciu parametrów podanych w tabeli) zapewnia sterylność elementów protetycznych; ten stan został potwierdzony przez akredytowane laboratorium.</w:t>
      </w:r>
    </w:p>
    <w:p w14:paraId="1E53E46D" w14:textId="77777777" w:rsidR="006439BE" w:rsidRPr="00BC5106" w:rsidRDefault="006439BE">
      <w:pPr>
        <w:pStyle w:val="BodyText"/>
        <w:spacing w:before="6"/>
        <w:ind w:left="0"/>
        <w:rPr>
          <w:w w:val="105"/>
          <w:szCs w:val="22"/>
          <w:lang w:val="pl-PL"/>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BC5106" w:rsidRDefault="006439BE" w:rsidP="005D34C0">
            <w:pPr>
              <w:rPr>
                <w:kern w:val="2"/>
                <w:sz w:val="10"/>
                <w:szCs w:val="10"/>
                <w:lang w:val="pl-PL"/>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pl-PL" w:bidi="pl-PL"/>
              </w:rPr>
              <w:t>Próżnia frakcjonowana</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pl-PL" w:bidi="pl-PL"/>
              </w:rPr>
              <w:t>Czas sterylizacji</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pl-PL" w:bidi="pl-PL"/>
              </w:rPr>
              <w:t>4 minuty</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pl-PL" w:bidi="pl-PL"/>
              </w:rPr>
              <w:t>Temperatura sterylizacji</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pl-PL" w:bidi="pl-PL"/>
              </w:rPr>
              <w:t>134C°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pl-PL" w:bidi="pl-PL"/>
              </w:rPr>
              <w:t>Minimalne ciśnienie</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pl-PL" w:bidi="pl-PL"/>
              </w:rPr>
              <w:t>2 bar</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pl-PL" w:bidi="pl-PL"/>
              </w:rPr>
              <w:t>Czas suszenia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pl-PL" w:bidi="pl-PL"/>
              </w:rPr>
              <w:t>20 minut</w:t>
            </w:r>
          </w:p>
        </w:tc>
      </w:tr>
    </w:tbl>
    <w:p w14:paraId="711893AB" w14:textId="5F0D8B2A" w:rsidR="00556B85" w:rsidRDefault="00556B85">
      <w:pPr>
        <w:pStyle w:val="BodyText"/>
        <w:spacing w:before="61"/>
        <w:ind w:left="0"/>
      </w:pPr>
    </w:p>
    <w:p w14:paraId="56E605E6" w14:textId="5B8E9D75" w:rsidR="00556B85" w:rsidRPr="00BC5106" w:rsidRDefault="003154D9">
      <w:pPr>
        <w:pStyle w:val="BodyText"/>
        <w:spacing w:before="1" w:line="283" w:lineRule="auto"/>
        <w:ind w:right="175"/>
        <w:jc w:val="both"/>
        <w:rPr>
          <w:lang w:val="pl-PL"/>
        </w:rPr>
      </w:pPr>
      <w:r>
        <w:rPr>
          <w:w w:val="105"/>
          <w:lang w:val="pl-PL" w:bidi="pl-PL"/>
        </w:rPr>
        <w:t>Czas ogrzewania i frakcjonowania próżniowego (co najmniej trzy etapy) może wahać się, w zależności od stanu autoklawu, od 25 do 30 minut. Maksymalna temperatura sterylizacji wynosi 138°C. Rzeczywisty wymagany czas suszenia zależy od parametrów, za które operator ponosi wyłączną odpowiedzialność (np. konfiguracja i gęstość załadunku, stan sterylizatora) i dlatego powinien być określony przez samego operatora. W każdym razie czas suszenia nie powinien być krótszy niż 20 minut.</w:t>
      </w:r>
    </w:p>
    <w:p w14:paraId="517D2F48" w14:textId="77777777" w:rsidR="00556B85" w:rsidRPr="00BC5106" w:rsidRDefault="003154D9">
      <w:pPr>
        <w:pStyle w:val="BodyText"/>
        <w:spacing w:line="219" w:lineRule="exact"/>
        <w:jc w:val="both"/>
        <w:rPr>
          <w:lang w:val="pl-PL"/>
        </w:rPr>
      </w:pPr>
      <w:r>
        <w:rPr>
          <w:rFonts w:ascii="Arial Black" w:eastAsia="Arial Black" w:hAnsi="Arial Black" w:cs="Arial Black"/>
          <w:lang w:val="pl-PL" w:bidi="pl-PL"/>
        </w:rPr>
        <w:t xml:space="preserve">Ostrzeżenie: </w:t>
      </w:r>
      <w:r>
        <w:rPr>
          <w:lang w:val="pl-PL" w:bidi="pl-PL"/>
        </w:rPr>
        <w:t xml:space="preserve">nie wolno autoklawować tego produktu w </w:t>
      </w:r>
      <w:r>
        <w:rPr>
          <w:spacing w:val="-2"/>
          <w:lang w:val="pl-PL" w:bidi="pl-PL"/>
        </w:rPr>
        <w:t>oryginalnym</w:t>
      </w:r>
      <w:r>
        <w:rPr>
          <w:lang w:val="pl-PL" w:bidi="pl-PL"/>
        </w:rPr>
        <w:t xml:space="preserve"> opakowaniu.</w:t>
      </w:r>
    </w:p>
    <w:p w14:paraId="4A8BB81E" w14:textId="77777777" w:rsidR="00556B85" w:rsidRPr="00BC5106" w:rsidRDefault="00556B85">
      <w:pPr>
        <w:pStyle w:val="BodyText"/>
        <w:spacing w:before="54"/>
        <w:ind w:left="0"/>
        <w:rPr>
          <w:lang w:val="pl-PL"/>
        </w:rPr>
      </w:pPr>
    </w:p>
    <w:p w14:paraId="6D23445E" w14:textId="77777777" w:rsidR="00556B85" w:rsidRPr="00BC5106" w:rsidRDefault="003154D9">
      <w:pPr>
        <w:pStyle w:val="ListParagraph"/>
        <w:numPr>
          <w:ilvl w:val="0"/>
          <w:numId w:val="1"/>
        </w:numPr>
        <w:tabs>
          <w:tab w:val="left" w:pos="338"/>
        </w:tabs>
        <w:spacing w:line="283" w:lineRule="auto"/>
        <w:ind w:firstLine="0"/>
        <w:rPr>
          <w:sz w:val="18"/>
          <w:lang w:val="pl-PL"/>
        </w:rPr>
      </w:pPr>
      <w:r>
        <w:rPr>
          <w:w w:val="105"/>
          <w:sz w:val="18"/>
          <w:lang w:val="pl-PL" w:bidi="pl-PL"/>
        </w:rPr>
        <w:t>Jeśli na torebce do sterylizacji nie ma wskaźnika chemicznego, należy do włożyć do autoklawu i używać podczas procesu, aby potwierdzić skuteczność sterylizacji.</w:t>
      </w:r>
    </w:p>
    <w:p w14:paraId="7D02B272" w14:textId="77777777" w:rsidR="00556B85" w:rsidRPr="00BC5106" w:rsidRDefault="00556B85">
      <w:pPr>
        <w:pStyle w:val="BodyText"/>
        <w:spacing w:before="35"/>
        <w:ind w:left="0"/>
        <w:rPr>
          <w:lang w:val="pl-PL"/>
        </w:rPr>
      </w:pPr>
    </w:p>
    <w:p w14:paraId="6B84B99F" w14:textId="77777777" w:rsidR="00556B85" w:rsidRPr="00BC5106" w:rsidRDefault="003154D9">
      <w:pPr>
        <w:pStyle w:val="ListParagraph"/>
        <w:numPr>
          <w:ilvl w:val="0"/>
          <w:numId w:val="1"/>
        </w:numPr>
        <w:tabs>
          <w:tab w:val="left" w:pos="426"/>
        </w:tabs>
        <w:spacing w:line="283" w:lineRule="auto"/>
        <w:ind w:firstLine="0"/>
        <w:rPr>
          <w:sz w:val="18"/>
          <w:lang w:val="pl-PL"/>
        </w:rPr>
      </w:pPr>
      <w:r>
        <w:rPr>
          <w:w w:val="105"/>
          <w:sz w:val="18"/>
          <w:lang w:val="pl-PL" w:bidi="pl-PL"/>
        </w:rPr>
        <w:t>Podczas wyjmowania elementów protetycznych ze sterylnej bariery należy przestrzegać zasad aseptyki. Sterylne opakowanie należy otworzyć dopiero bezpośrednio przed użyciem elementów protetycznych. Nie należy używać elementów protetycznych z uszkodzoną barierą sterylną. Wskazane jest, aby był zawsze dostępny zapasowy element.</w:t>
      </w:r>
    </w:p>
    <w:p w14:paraId="5DD1EC7D" w14:textId="77777777" w:rsidR="00556B85" w:rsidRPr="00BC5106" w:rsidRDefault="003154D9">
      <w:pPr>
        <w:pStyle w:val="BodyText"/>
        <w:spacing w:line="213" w:lineRule="exact"/>
        <w:jc w:val="both"/>
        <w:rPr>
          <w:lang w:val="pl-PL"/>
        </w:rPr>
      </w:pPr>
      <w:r>
        <w:rPr>
          <w:rFonts w:ascii="Arial Black" w:eastAsia="Arial Black" w:hAnsi="Arial Black" w:cs="Arial Black"/>
          <w:lang w:val="pl-PL" w:bidi="pl-PL"/>
        </w:rPr>
        <w:t xml:space="preserve">Ostrzeżenie: </w:t>
      </w:r>
      <w:r>
        <w:rPr>
          <w:lang w:val="pl-PL" w:bidi="pl-PL"/>
        </w:rPr>
        <w:t xml:space="preserve">Wyrobów należy używać natychmiast po sterylizacji. Nie należy przechowywać </w:t>
      </w:r>
      <w:r>
        <w:rPr>
          <w:spacing w:val="-2"/>
          <w:lang w:val="pl-PL" w:bidi="pl-PL"/>
        </w:rPr>
        <w:t>wysterylizowanych</w:t>
      </w:r>
      <w:r>
        <w:rPr>
          <w:lang w:val="pl-PL" w:bidi="pl-PL"/>
        </w:rPr>
        <w:t xml:space="preserve"> wyrobów.</w:t>
      </w:r>
    </w:p>
    <w:p w14:paraId="596A6E9F" w14:textId="77777777" w:rsidR="00556B85" w:rsidRPr="00BC5106" w:rsidRDefault="003154D9">
      <w:pPr>
        <w:pStyle w:val="BodyText"/>
        <w:spacing w:line="276" w:lineRule="auto"/>
        <w:ind w:right="175"/>
        <w:jc w:val="both"/>
        <w:rPr>
          <w:lang w:val="pl-PL"/>
        </w:rPr>
      </w:pPr>
      <w:r>
        <w:rPr>
          <w:rFonts w:ascii="Arial Black" w:eastAsia="Arial Black" w:hAnsi="Arial Black" w:cs="Arial Black"/>
          <w:w w:val="105"/>
          <w:lang w:val="pl-PL" w:bidi="pl-PL"/>
        </w:rPr>
        <w:t xml:space="preserve">Uwaga: </w:t>
      </w:r>
      <w:r>
        <w:rPr>
          <w:w w:val="105"/>
          <w:lang w:val="pl-PL" w:bidi="pl-PL"/>
        </w:rPr>
        <w:t>Użytkownicy powinni się upewnić, że autoklaw i wszystkie akcesoria do sterylizacji (arkusze sterylizacyjne, torebki, tace sterylizacyjne, wskaźniki biologiczne i chemiczne) są prawidłowo skalibrowane i zatwierdzone do zamierzonego cyklu sterylizacji. Użytkownik powinien się zapoznać z zaleceniami dotyczącymi sterylizacji podanymi przez producenta materiału do wypełnień. Jeśli pod koniec cyklu sterylizacji widoczne są oznaki wilgoci (plamy wilgoci na opakowaniu sterylnym, stojąca woda w załadowanym materiale), należy przepakować i ponownie wysterylizować.</w:t>
      </w:r>
    </w:p>
    <w:p w14:paraId="6322A339" w14:textId="77777777" w:rsidR="00556B85" w:rsidRPr="00BC5106" w:rsidRDefault="003154D9">
      <w:pPr>
        <w:pStyle w:val="BodyText"/>
        <w:spacing w:line="224" w:lineRule="exact"/>
        <w:jc w:val="both"/>
        <w:rPr>
          <w:lang w:val="pl-PL"/>
        </w:rPr>
      </w:pPr>
      <w:r>
        <w:rPr>
          <w:rFonts w:ascii="Arial Black" w:eastAsia="Arial Black" w:hAnsi="Arial Black" w:cs="Arial Black"/>
          <w:w w:val="105"/>
          <w:lang w:val="pl-PL" w:bidi="pl-PL"/>
        </w:rPr>
        <w:t xml:space="preserve">Uwaga: </w:t>
      </w:r>
      <w:r>
        <w:rPr>
          <w:w w:val="105"/>
          <w:lang w:val="pl-PL" w:bidi="pl-PL"/>
        </w:rPr>
        <w:t xml:space="preserve">Aby uniknąć pęknięć naprężeniowych w kaniuli POM, nie należy stosować: alkoholu, promieniowania UV, sterylizacji </w:t>
      </w:r>
      <w:r>
        <w:rPr>
          <w:spacing w:val="-5"/>
          <w:w w:val="105"/>
          <w:lang w:val="pl-PL" w:bidi="pl-PL"/>
        </w:rPr>
        <w:t>przez</w:t>
      </w:r>
    </w:p>
    <w:p w14:paraId="42DCBD44" w14:textId="65CAA1D0" w:rsidR="00556B85" w:rsidRPr="00BC5106" w:rsidRDefault="003154D9">
      <w:pPr>
        <w:pStyle w:val="BodyText"/>
        <w:spacing w:before="11"/>
        <w:jc w:val="both"/>
        <w:rPr>
          <w:lang w:val="pl-PL"/>
        </w:rPr>
      </w:pPr>
      <w:r>
        <w:rPr>
          <w:w w:val="105"/>
          <w:lang w:val="pl-PL" w:bidi="pl-PL"/>
        </w:rPr>
        <w:t xml:space="preserve">napromieniowanie (sterylizacja gamma), zanurzania w cieczy na dłużej niż godzinę lub temperatur powyżej </w:t>
      </w:r>
      <w:r>
        <w:rPr>
          <w:spacing w:val="-2"/>
          <w:w w:val="105"/>
          <w:lang w:val="pl-PL" w:bidi="pl-PL"/>
        </w:rPr>
        <w:t>60°C</w:t>
      </w:r>
      <w:r>
        <w:rPr>
          <w:w w:val="105"/>
          <w:lang w:val="pl-PL" w:bidi="pl-PL"/>
        </w:rPr>
        <w:t>.</w:t>
      </w:r>
    </w:p>
    <w:p w14:paraId="2955A156" w14:textId="77777777" w:rsidR="00556B85" w:rsidRPr="00BC5106" w:rsidRDefault="00556B85">
      <w:pPr>
        <w:jc w:val="both"/>
        <w:rPr>
          <w:lang w:val="pl-PL"/>
        </w:rPr>
        <w:sectPr w:rsidR="00556B85" w:rsidRPr="00BC5106">
          <w:headerReference w:type="default" r:id="rId14"/>
          <w:footerReference w:type="default" r:id="rId15"/>
          <w:pgSz w:w="11900" w:h="16850"/>
          <w:pgMar w:top="900" w:right="260" w:bottom="880" w:left="320" w:header="0" w:footer="683" w:gutter="0"/>
          <w:pgNumType w:start="3"/>
          <w:cols w:space="720"/>
        </w:sectPr>
      </w:pPr>
    </w:p>
    <w:p w14:paraId="551B2C98" w14:textId="64E1124A" w:rsidR="00556B85" w:rsidRPr="00BC5106" w:rsidRDefault="00556B85">
      <w:pPr>
        <w:pStyle w:val="BodyText"/>
        <w:spacing w:before="7"/>
        <w:ind w:left="0"/>
        <w:rPr>
          <w:lang w:val="pl-PL"/>
        </w:rPr>
      </w:pPr>
    </w:p>
    <w:p w14:paraId="0E8AA095" w14:textId="250777DF" w:rsidR="00556B85" w:rsidRPr="00BC5106" w:rsidRDefault="003154D9">
      <w:pPr>
        <w:pStyle w:val="Heading1"/>
        <w:rPr>
          <w:lang w:val="pl-PL"/>
        </w:rPr>
      </w:pPr>
      <w:r>
        <w:rPr>
          <w:w w:val="85"/>
          <w:lang w:val="pl-PL" w:bidi="pl-PL"/>
        </w:rPr>
        <w:t xml:space="preserve">PROCEDURA </w:t>
      </w:r>
      <w:r>
        <w:rPr>
          <w:spacing w:val="-2"/>
          <w:w w:val="95"/>
          <w:lang w:val="pl-PL" w:bidi="pl-PL"/>
        </w:rPr>
        <w:t>CHIRURGICZNA</w:t>
      </w:r>
    </w:p>
    <w:p w14:paraId="773F340A" w14:textId="47950AE4" w:rsidR="00556B85" w:rsidRPr="00BC5106" w:rsidRDefault="003154D9">
      <w:pPr>
        <w:pStyle w:val="BodyText"/>
        <w:spacing w:before="18" w:line="283" w:lineRule="auto"/>
        <w:ind w:right="175"/>
        <w:jc w:val="both"/>
        <w:rPr>
          <w:lang w:val="pl-PL"/>
        </w:rPr>
      </w:pPr>
      <w:r>
        <w:rPr>
          <w:w w:val="105"/>
          <w:lang w:val="pl-PL" w:bidi="pl-PL"/>
        </w:rPr>
        <w:t>Łącznik CoCr28Mo do wypalenia jest wykonany z odlewanej podstawy ze stopu i kaniuli z tworzywa sztucznego do wypalenia, która nie uwalnia pozostałości podczas procesu odlewania metodą traconego wosku. W razie potrzeby kaniulę z tworzywa sztucznego można skrócić przed modelowaniem woskiem. Należy przestrzegać minimalnej grubości ścianki wynoszącej 0,4 mm. Geometria połączenia i platforma do implantu muszą być całkowicie wolne od plastiku, wosku i smaru, aby zapewnić brak odlewów w tym obszarze.</w:t>
      </w:r>
    </w:p>
    <w:p w14:paraId="4EBC6183" w14:textId="77777777" w:rsidR="00556B85" w:rsidRPr="00BC5106" w:rsidRDefault="003154D9">
      <w:pPr>
        <w:pStyle w:val="BodyText"/>
        <w:spacing w:line="283" w:lineRule="auto"/>
        <w:ind w:right="175"/>
        <w:jc w:val="both"/>
        <w:rPr>
          <w:lang w:val="pl-PL"/>
        </w:rPr>
      </w:pPr>
      <w:r>
        <w:rPr>
          <w:w w:val="105"/>
          <w:lang w:val="pl-PL" w:bidi="pl-PL"/>
        </w:rPr>
        <w:t xml:space="preserve">Do powlekania można stosować wyłącznie związki fosforanowe (bez gipsu) zalecane do odlewania stopów </w:t>
      </w:r>
      <w:r>
        <w:rPr>
          <w:spacing w:val="-2"/>
          <w:w w:val="105"/>
          <w:lang w:val="pl-PL" w:bidi="pl-PL"/>
        </w:rPr>
        <w:t>metali</w:t>
      </w:r>
      <w:r>
        <w:rPr>
          <w:w w:val="105"/>
          <w:lang w:val="pl-PL" w:bidi="pl-PL"/>
        </w:rPr>
        <w:t>.</w:t>
      </w:r>
    </w:p>
    <w:p w14:paraId="2BF5BE6D" w14:textId="77777777" w:rsidR="00556B85" w:rsidRPr="00BC5106" w:rsidRDefault="003154D9">
      <w:pPr>
        <w:pStyle w:val="BodyText"/>
        <w:spacing w:line="283" w:lineRule="auto"/>
        <w:ind w:right="175"/>
        <w:jc w:val="both"/>
        <w:rPr>
          <w:lang w:val="pl-PL"/>
        </w:rPr>
      </w:pPr>
      <w:r>
        <w:rPr>
          <w:w w:val="105"/>
          <w:lang w:val="pl-PL" w:bidi="pl-PL"/>
        </w:rPr>
        <w:t>Wybierając stop do odlewania, należy dokładnie ocenić jego temperaturę topnienia w odniesieniu do temperatury odlewanego elementu, która musi być o około 80-100°C wyższa, aby nie ulec deformacji, ale umożliwić dobre połączenie obu stopów.</w:t>
      </w:r>
    </w:p>
    <w:p w14:paraId="0D971B4A" w14:textId="77777777" w:rsidR="00556B85" w:rsidRPr="00BC5106" w:rsidRDefault="003154D9">
      <w:pPr>
        <w:pStyle w:val="BodyText"/>
        <w:spacing w:line="202" w:lineRule="exact"/>
        <w:jc w:val="both"/>
        <w:rPr>
          <w:lang w:val="pl-PL"/>
        </w:rPr>
      </w:pPr>
      <w:r>
        <w:rPr>
          <w:w w:val="105"/>
          <w:lang w:val="pl-PL" w:bidi="pl-PL"/>
        </w:rPr>
        <w:t xml:space="preserve">Należy zapoznać się z instrukcjami dotyczącymi stopu odlewniczego, aby uzyskać wskazówki dotyczące wstępnego podgrzewania pieca i współczynnika CTE </w:t>
      </w:r>
      <w:r>
        <w:rPr>
          <w:spacing w:val="-2"/>
          <w:w w:val="105"/>
          <w:lang w:val="pl-PL" w:bidi="pl-PL"/>
        </w:rPr>
        <w:t>metalu</w:t>
      </w:r>
      <w:r>
        <w:rPr>
          <w:w w:val="105"/>
          <w:lang w:val="pl-PL" w:bidi="pl-PL"/>
        </w:rPr>
        <w:t>.</w:t>
      </w:r>
    </w:p>
    <w:p w14:paraId="78FEA87E" w14:textId="77777777" w:rsidR="00556B85" w:rsidRPr="00BC5106" w:rsidRDefault="003154D9">
      <w:pPr>
        <w:pStyle w:val="BodyText"/>
        <w:spacing w:before="33" w:line="283" w:lineRule="auto"/>
        <w:ind w:right="175"/>
        <w:jc w:val="both"/>
        <w:rPr>
          <w:lang w:val="pl-PL"/>
        </w:rPr>
      </w:pPr>
      <w:r>
        <w:rPr>
          <w:w w:val="110"/>
          <w:lang w:val="pl-PL" w:bidi="pl-PL"/>
        </w:rPr>
        <w:t>Po odlaniu należy pozwolić cylindrowi powoli ostygnąć do temperatury pokojowej, aby zapobiec tworzeniu się naprężeń między dwoma stopami.</w:t>
      </w:r>
    </w:p>
    <w:p w14:paraId="5C92D5F8" w14:textId="77777777" w:rsidR="00556B85" w:rsidRPr="00BC5106" w:rsidRDefault="003154D9">
      <w:pPr>
        <w:pStyle w:val="BodyText"/>
        <w:spacing w:line="283" w:lineRule="auto"/>
        <w:ind w:right="175"/>
        <w:jc w:val="both"/>
        <w:rPr>
          <w:lang w:val="pl-PL"/>
        </w:rPr>
      </w:pPr>
      <w:r>
        <w:rPr>
          <w:w w:val="105"/>
          <w:lang w:val="pl-PL" w:bidi="pl-PL"/>
        </w:rPr>
        <w:t>Powłokę i tlenek można usunąć przez piaskowanie (zalecane jest maksymalne ciśnienie 2 barów, aby uniknąć zmian i uszkodzeń w obszarze połączenia implantu z filarem; przed procesem piaskowania zaleca się zamaskowanie połączenia woskiem, który można następnie usunąć parą).</w:t>
      </w:r>
    </w:p>
    <w:p w14:paraId="08277007" w14:textId="77777777" w:rsidR="00556B85" w:rsidRPr="00BC5106" w:rsidRDefault="003154D9">
      <w:pPr>
        <w:pStyle w:val="BodyText"/>
        <w:spacing w:line="283" w:lineRule="auto"/>
        <w:ind w:right="175"/>
        <w:jc w:val="both"/>
        <w:rPr>
          <w:lang w:val="pl-PL"/>
        </w:rPr>
      </w:pPr>
      <w:r>
        <w:rPr>
          <w:w w:val="105"/>
          <w:lang w:val="pl-PL" w:bidi="pl-PL"/>
        </w:rPr>
        <w:t>Wykończenie i polerowanie jest zalecane przez piaskowanie szklanymi kulkami, aby uniknąć uszkodzenia i modyfikacji podstawy CoCr28Mo.</w:t>
      </w:r>
    </w:p>
    <w:p w14:paraId="6C01635A" w14:textId="77777777" w:rsidR="00556B85" w:rsidRPr="00BC5106" w:rsidRDefault="003154D9">
      <w:pPr>
        <w:pStyle w:val="BodyText"/>
        <w:spacing w:line="203" w:lineRule="exact"/>
        <w:jc w:val="both"/>
        <w:rPr>
          <w:lang w:val="pl-PL"/>
        </w:rPr>
      </w:pPr>
      <w:r>
        <w:rPr>
          <w:w w:val="105"/>
          <w:lang w:val="pl-PL" w:bidi="pl-PL"/>
        </w:rPr>
        <w:t xml:space="preserve">Jeśli wymagane jest nakładanie warstw ceramicznych, zaleca się najpierw zastosować </w:t>
      </w:r>
      <w:r>
        <w:rPr>
          <w:spacing w:val="-2"/>
          <w:w w:val="105"/>
          <w:lang w:val="pl-PL" w:bidi="pl-PL"/>
        </w:rPr>
        <w:t>klejenie</w:t>
      </w:r>
      <w:r>
        <w:rPr>
          <w:w w:val="105"/>
          <w:lang w:val="pl-PL" w:bidi="pl-PL"/>
        </w:rPr>
        <w:t>.</w:t>
      </w:r>
    </w:p>
    <w:p w14:paraId="0C4D7759" w14:textId="77777777" w:rsidR="00556B85" w:rsidRPr="00BC5106" w:rsidRDefault="00556B85">
      <w:pPr>
        <w:pStyle w:val="BodyText"/>
        <w:spacing w:before="36"/>
        <w:ind w:left="0"/>
        <w:rPr>
          <w:lang w:val="pl-PL"/>
        </w:rPr>
      </w:pPr>
    </w:p>
    <w:p w14:paraId="12E84A5B" w14:textId="77777777" w:rsidR="00556B85" w:rsidRPr="00BC5106" w:rsidRDefault="003154D9">
      <w:pPr>
        <w:pStyle w:val="Heading1"/>
        <w:spacing w:before="1"/>
        <w:rPr>
          <w:lang w:val="pl-PL"/>
        </w:rPr>
      </w:pPr>
      <w:r>
        <w:rPr>
          <w:spacing w:val="-2"/>
          <w:w w:val="95"/>
          <w:lang w:val="pl-PL" w:bidi="pl-PL"/>
        </w:rPr>
        <w:t>PRZECHOWYWANIE</w:t>
      </w:r>
    </w:p>
    <w:p w14:paraId="7479414C" w14:textId="22F7C874" w:rsidR="00556B85" w:rsidRPr="00BC5106" w:rsidRDefault="003154D9">
      <w:pPr>
        <w:pStyle w:val="BodyText"/>
        <w:spacing w:before="18" w:line="283" w:lineRule="auto"/>
        <w:ind w:right="175"/>
        <w:jc w:val="both"/>
        <w:rPr>
          <w:lang w:val="pl-PL"/>
        </w:rPr>
      </w:pPr>
      <w:r>
        <w:rPr>
          <w:w w:val="105"/>
          <w:lang w:val="pl-PL" w:bidi="pl-PL"/>
        </w:rPr>
        <w:t xml:space="preserve">Elementy protetyczne należy przechowywać w suchym miejscu, z dala od bezpośredniego światła słonecznego i w temperaturze pokojowej. Należy postępować zgodnie z instrukcjami producenta torebek dotyczącymi warunków przechowywania i daty ważności </w:t>
      </w:r>
      <w:r>
        <w:rPr>
          <w:spacing w:val="-2"/>
          <w:w w:val="105"/>
          <w:lang w:val="pl-PL" w:bidi="pl-PL"/>
        </w:rPr>
        <w:t>wysterylizowanych</w:t>
      </w:r>
      <w:r>
        <w:rPr>
          <w:w w:val="105"/>
          <w:lang w:val="pl-PL" w:bidi="pl-PL"/>
        </w:rPr>
        <w:t xml:space="preserve"> produktów.</w:t>
      </w:r>
    </w:p>
    <w:p w14:paraId="6ACB024F" w14:textId="77777777" w:rsidR="00556B85" w:rsidRPr="00BC5106" w:rsidRDefault="00556B85">
      <w:pPr>
        <w:pStyle w:val="BodyText"/>
        <w:spacing w:before="2"/>
        <w:ind w:left="0"/>
        <w:rPr>
          <w:lang w:val="pl-PL"/>
        </w:rPr>
      </w:pPr>
    </w:p>
    <w:p w14:paraId="09247ABA" w14:textId="77777777" w:rsidR="00556B85" w:rsidRPr="00BC5106" w:rsidRDefault="003154D9">
      <w:pPr>
        <w:pStyle w:val="Heading1"/>
        <w:spacing w:line="247" w:lineRule="exact"/>
        <w:rPr>
          <w:lang w:val="pl-PL"/>
        </w:rPr>
      </w:pPr>
      <w:r>
        <w:rPr>
          <w:w w:val="85"/>
          <w:lang w:val="pl-PL" w:bidi="pl-PL"/>
        </w:rPr>
        <w:t xml:space="preserve">OGÓLNE KORZYSTANIE Z NARZĘDZI </w:t>
      </w:r>
      <w:r>
        <w:rPr>
          <w:spacing w:val="-2"/>
          <w:w w:val="85"/>
          <w:lang w:val="pl-PL" w:bidi="pl-PL"/>
        </w:rPr>
        <w:t>CHIRURGICZNYCH</w:t>
      </w:r>
      <w:r>
        <w:rPr>
          <w:w w:val="85"/>
          <w:lang w:val="pl-PL" w:bidi="pl-PL"/>
        </w:rPr>
        <w:t>, ICH PIELĘGNACJA I KONSERWACJA</w:t>
      </w:r>
    </w:p>
    <w:p w14:paraId="5784E5F2" w14:textId="507BA086" w:rsidR="00556B85" w:rsidRPr="00BC5106" w:rsidRDefault="003154D9">
      <w:pPr>
        <w:pStyle w:val="BodyText"/>
        <w:spacing w:line="256" w:lineRule="auto"/>
        <w:rPr>
          <w:lang w:val="pl-PL"/>
        </w:rPr>
      </w:pPr>
      <w:r>
        <w:rPr>
          <w:rFonts w:ascii="Arial Black" w:eastAsia="Arial Black" w:hAnsi="Arial Black" w:cs="Arial Black"/>
          <w:w w:val="105"/>
          <w:lang w:val="pl-PL" w:bidi="pl-PL"/>
        </w:rPr>
        <w:t>Ostrzeżenie</w:t>
      </w:r>
      <w:r>
        <w:rPr>
          <w:w w:val="105"/>
          <w:lang w:val="pl-PL" w:bidi="pl-PL"/>
        </w:rPr>
        <w:t>: kliniczny sukces zabiegu chirurgicznego wszczepienia elementu protetycznego wymaga użycia narzędzi w idealnym stanie.</w:t>
      </w:r>
    </w:p>
    <w:p w14:paraId="20764D7B" w14:textId="32D29314" w:rsidR="00556B85" w:rsidRPr="00BC5106" w:rsidRDefault="003154D9">
      <w:pPr>
        <w:pStyle w:val="BodyText"/>
        <w:spacing w:before="15" w:line="283" w:lineRule="auto"/>
        <w:ind w:right="187"/>
        <w:rPr>
          <w:lang w:val="pl-PL"/>
        </w:rPr>
      </w:pPr>
      <w:r>
        <w:rPr>
          <w:w w:val="105"/>
          <w:lang w:val="pl-PL" w:bidi="pl-PL"/>
        </w:rPr>
        <w:t>Pielęgnacja i konserwacja narzędzi ma kluczowe znaczenie dla skutecznego leczenia. Wysterylizowane narzędzia nie tylko chronią pacjentów i personel przed infekcjami i zakażeniami krzyżowymi, ale są również niezbędne dla wyniku całego leczenia. Ze względu na niewielki rozmiar elementów należy uważać, aby nie zostały połknięte lub zassane przez pacjenta. Aby zapobiec wdychaniu luźnych części zaleca się stosowanie gumowego koferdamu.</w:t>
      </w:r>
    </w:p>
    <w:p w14:paraId="758735FB" w14:textId="77777777" w:rsidR="00556B85" w:rsidRPr="00BC5106" w:rsidRDefault="003154D9">
      <w:pPr>
        <w:pStyle w:val="BodyText"/>
        <w:spacing w:line="201" w:lineRule="exact"/>
        <w:rPr>
          <w:lang w:val="pl-PL"/>
        </w:rPr>
      </w:pPr>
      <w:r>
        <w:rPr>
          <w:w w:val="105"/>
          <w:lang w:val="pl-PL" w:bidi="pl-PL"/>
        </w:rPr>
        <w:t xml:space="preserve">Należy zapoznać się z instrukcjami używania i konserwacji zestawu </w:t>
      </w:r>
      <w:r>
        <w:rPr>
          <w:spacing w:val="-2"/>
          <w:w w:val="105"/>
          <w:lang w:val="pl-PL" w:bidi="pl-PL"/>
        </w:rPr>
        <w:t>chirurgicznego</w:t>
      </w:r>
      <w:r>
        <w:rPr>
          <w:w w:val="105"/>
          <w:lang w:val="pl-PL" w:bidi="pl-PL"/>
        </w:rPr>
        <w:t xml:space="preserve"> zawartymi w arkuszu danych.</w:t>
      </w:r>
    </w:p>
    <w:p w14:paraId="5F2ED744" w14:textId="54C9D53D" w:rsidR="00556B85" w:rsidRPr="00BC5106" w:rsidRDefault="00556B85">
      <w:pPr>
        <w:pStyle w:val="BodyText"/>
        <w:spacing w:before="40"/>
        <w:ind w:left="0"/>
        <w:rPr>
          <w:lang w:val="pl-PL"/>
        </w:rPr>
      </w:pPr>
    </w:p>
    <w:p w14:paraId="230539ED" w14:textId="77777777" w:rsidR="00556B85" w:rsidRPr="00BC5106" w:rsidRDefault="003154D9">
      <w:pPr>
        <w:pStyle w:val="Heading1"/>
        <w:rPr>
          <w:lang w:val="pl-PL"/>
        </w:rPr>
      </w:pPr>
      <w:r>
        <w:rPr>
          <w:w w:val="85"/>
          <w:lang w:val="pl-PL" w:bidi="pl-PL"/>
        </w:rPr>
        <w:t xml:space="preserve">DODATKOWE </w:t>
      </w:r>
      <w:r>
        <w:rPr>
          <w:spacing w:val="-2"/>
          <w:lang w:val="pl-PL" w:bidi="pl-PL"/>
        </w:rPr>
        <w:t>INFORMACJE</w:t>
      </w:r>
    </w:p>
    <w:p w14:paraId="1A8BF3FE" w14:textId="77777777" w:rsidR="00556B85" w:rsidRPr="00BC5106" w:rsidRDefault="003154D9">
      <w:pPr>
        <w:pStyle w:val="BodyText"/>
        <w:spacing w:before="18"/>
        <w:rPr>
          <w:lang w:val="pl-PL"/>
        </w:rPr>
      </w:pPr>
      <w:r>
        <w:rPr>
          <w:lang w:val="pl-PL" w:bidi="pl-PL"/>
        </w:rPr>
        <w:t xml:space="preserve">Aby uzyskać dodatkowe informacje na temat korzystania z produktów Advan, należy skontaktować się z działem obsługi klienta </w:t>
      </w:r>
      <w:r>
        <w:rPr>
          <w:spacing w:val="-2"/>
          <w:lang w:val="pl-PL" w:bidi="pl-PL"/>
        </w:rPr>
        <w:t>Advan</w:t>
      </w:r>
      <w:r>
        <w:rPr>
          <w:lang w:val="pl-PL" w:bidi="pl-PL"/>
        </w:rPr>
        <w:t>.</w:t>
      </w:r>
    </w:p>
    <w:p w14:paraId="061C2846" w14:textId="77777777" w:rsidR="00556B85" w:rsidRPr="00BC5106" w:rsidRDefault="00556B85">
      <w:pPr>
        <w:pStyle w:val="BodyText"/>
        <w:spacing w:before="40"/>
        <w:ind w:left="0"/>
        <w:rPr>
          <w:lang w:val="pl-PL"/>
        </w:rPr>
      </w:pPr>
    </w:p>
    <w:p w14:paraId="0141C679" w14:textId="77777777" w:rsidR="00556B85" w:rsidRPr="00BC5106" w:rsidRDefault="003154D9">
      <w:pPr>
        <w:pStyle w:val="Heading1"/>
        <w:rPr>
          <w:lang w:val="pl-PL"/>
        </w:rPr>
      </w:pPr>
      <w:r>
        <w:rPr>
          <w:spacing w:val="-2"/>
          <w:lang w:val="pl-PL" w:bidi="pl-PL"/>
        </w:rPr>
        <w:t>LIKWIDACJA</w:t>
      </w:r>
    </w:p>
    <w:p w14:paraId="5367B68B" w14:textId="77777777" w:rsidR="00556B85" w:rsidRPr="00BC5106" w:rsidRDefault="003154D9">
      <w:pPr>
        <w:pStyle w:val="BodyText"/>
        <w:spacing w:before="18" w:line="283" w:lineRule="auto"/>
        <w:rPr>
          <w:lang w:val="pl-PL"/>
        </w:rPr>
      </w:pPr>
      <w:r>
        <w:rPr>
          <w:w w:val="105"/>
          <w:lang w:val="pl-PL" w:bidi="pl-PL"/>
        </w:rPr>
        <w:t>Likwidację należy przeprowadzić w sposób przyjazny dla środowiska, zgodnie z lokalnymi przepisami. Niebezpieczne odpady pochodzące ze skażonych narzędzi lub ostrych narzędzi należy poddać likwidacji w odpowiednich pojemnikach spełniających określone wymagania techniczne.</w:t>
      </w:r>
    </w:p>
    <w:p w14:paraId="4CD2E13E" w14:textId="77777777" w:rsidR="00556B85" w:rsidRPr="00BC5106" w:rsidRDefault="00556B85">
      <w:pPr>
        <w:pStyle w:val="BodyText"/>
        <w:spacing w:before="3"/>
        <w:ind w:left="0"/>
        <w:rPr>
          <w:lang w:val="pl-PL"/>
        </w:rPr>
      </w:pPr>
    </w:p>
    <w:p w14:paraId="5117D84C" w14:textId="77777777" w:rsidR="00556B85" w:rsidRPr="00BC5106" w:rsidRDefault="003154D9">
      <w:pPr>
        <w:pStyle w:val="Heading1"/>
        <w:rPr>
          <w:lang w:val="pl-PL"/>
        </w:rPr>
      </w:pPr>
      <w:r>
        <w:rPr>
          <w:spacing w:val="-4"/>
          <w:lang w:val="pl-PL" w:bidi="pl-PL"/>
        </w:rPr>
        <w:t>UWAGI</w:t>
      </w:r>
    </w:p>
    <w:p w14:paraId="1AD1AE1C" w14:textId="34645EEE" w:rsidR="00556B85" w:rsidRPr="00BC5106" w:rsidRDefault="003154D9">
      <w:pPr>
        <w:pStyle w:val="BodyText"/>
        <w:spacing w:before="18" w:line="283" w:lineRule="auto"/>
        <w:ind w:right="175"/>
        <w:jc w:val="both"/>
        <w:rPr>
          <w:lang w:val="pl-PL"/>
        </w:rPr>
      </w:pPr>
      <w:r>
        <w:rPr>
          <w:w w:val="105"/>
          <w:lang w:val="pl-PL" w:bidi="pl-PL"/>
        </w:rPr>
        <w:t>Lekarze korzystający z produktu Advan powinni posiadać odpowiednią wiedzę techniczną i przeszkolenie, aby zapewnić jego bezpieczne używanie. Produkt Advan powinien być używany zgodnie z instrukcjami producenta. Lekarz jest odpowiedzialny za korzystanie z wyrobu zgodnie z niniejszą instrukcją używania oraz za określenie, czy wyrób jest odpowiedni dla indywidualnej sytuacji pacjenta. Produkt Advan jest częścią kompletnego programu i powinien być używany wyłącznie w połączeniu z oryginalnymi elementami i narzędziami udostępnianymi bezpośrednio przez firmę Advan i wszystkich krajowych sprzedawców Advan. Korzystanie z produktów osób trzecich, które nie są udostępniane przez Advan, unieważnia wszelkie gwarancje lub inne zobowiązania, dorozumiane lub wyraźne, firmy Advan.</w:t>
      </w:r>
    </w:p>
    <w:p w14:paraId="79111B1F" w14:textId="77777777" w:rsidR="00556B85" w:rsidRPr="00BC5106" w:rsidRDefault="00556B85">
      <w:pPr>
        <w:pStyle w:val="BodyText"/>
        <w:ind w:left="0"/>
        <w:rPr>
          <w:lang w:val="pl-PL"/>
        </w:rPr>
      </w:pPr>
    </w:p>
    <w:p w14:paraId="204A61E2" w14:textId="5218A6BD" w:rsidR="00556B85" w:rsidRPr="00BC5106" w:rsidRDefault="003154D9">
      <w:pPr>
        <w:pStyle w:val="Heading1"/>
        <w:rPr>
          <w:lang w:val="pl-PL"/>
        </w:rPr>
      </w:pPr>
      <w:r>
        <w:rPr>
          <w:spacing w:val="-2"/>
          <w:w w:val="95"/>
          <w:lang w:val="pl-PL" w:bidi="pl-PL"/>
        </w:rPr>
        <w:t>WAŻNOŚĆ</w:t>
      </w:r>
    </w:p>
    <w:p w14:paraId="6099EB0C" w14:textId="77777777" w:rsidR="00556B85" w:rsidRPr="00BC5106" w:rsidRDefault="003154D9">
      <w:pPr>
        <w:pStyle w:val="BodyText"/>
        <w:spacing w:before="18"/>
        <w:rPr>
          <w:lang w:val="pl-PL"/>
        </w:rPr>
      </w:pPr>
      <w:r>
        <w:rPr>
          <w:w w:val="105"/>
          <w:lang w:val="pl-PL" w:bidi="pl-PL"/>
        </w:rPr>
        <w:t xml:space="preserve">Niniejsza instrukcja używania zastępuje wszystkie </w:t>
      </w:r>
      <w:r>
        <w:rPr>
          <w:spacing w:val="-2"/>
          <w:w w:val="105"/>
          <w:lang w:val="pl-PL" w:bidi="pl-PL"/>
        </w:rPr>
        <w:t>poprzednie</w:t>
      </w:r>
      <w:r>
        <w:rPr>
          <w:w w:val="105"/>
          <w:lang w:val="pl-PL" w:bidi="pl-PL"/>
        </w:rPr>
        <w:t xml:space="preserve"> wersje.</w:t>
      </w:r>
    </w:p>
    <w:p w14:paraId="0BDB244C" w14:textId="77777777" w:rsidR="00556B85" w:rsidRPr="00BC5106" w:rsidRDefault="00556B85">
      <w:pPr>
        <w:pStyle w:val="BodyText"/>
        <w:spacing w:before="40"/>
        <w:ind w:left="0"/>
        <w:rPr>
          <w:lang w:val="pl-PL"/>
        </w:rPr>
      </w:pPr>
    </w:p>
    <w:p w14:paraId="710C3187" w14:textId="77777777" w:rsidR="00556B85" w:rsidRPr="00BC5106" w:rsidRDefault="003154D9">
      <w:pPr>
        <w:pStyle w:val="Heading1"/>
        <w:rPr>
          <w:lang w:val="pl-PL"/>
        </w:rPr>
      </w:pPr>
      <w:r>
        <w:rPr>
          <w:spacing w:val="-2"/>
          <w:w w:val="95"/>
          <w:lang w:val="pl-PL" w:bidi="pl-PL"/>
        </w:rPr>
        <w:t>DOSTĘPNOŚĆ</w:t>
      </w:r>
    </w:p>
    <w:p w14:paraId="7BD4F18A" w14:textId="3C5A20C4" w:rsidR="00556B85" w:rsidRPr="00BC5106" w:rsidRDefault="003154D9">
      <w:pPr>
        <w:pStyle w:val="BodyText"/>
        <w:spacing w:before="18"/>
        <w:rPr>
          <w:lang w:val="pl-PL"/>
        </w:rPr>
      </w:pPr>
      <w:r>
        <w:rPr>
          <w:w w:val="105"/>
          <w:lang w:val="pl-PL" w:bidi="pl-PL"/>
        </w:rPr>
        <w:t xml:space="preserve">Niektóre elementy systemu implantów Advan mogą nie być dostępne we wszystkich </w:t>
      </w:r>
      <w:r>
        <w:rPr>
          <w:spacing w:val="-2"/>
          <w:w w:val="105"/>
          <w:lang w:val="pl-PL" w:bidi="pl-PL"/>
        </w:rPr>
        <w:t>krajach</w:t>
      </w:r>
      <w:r>
        <w:rPr>
          <w:w w:val="105"/>
          <w:lang w:val="pl-PL" w:bidi="pl-PL"/>
        </w:rPr>
        <w:t>.</w:t>
      </w:r>
    </w:p>
    <w:p w14:paraId="334331BF" w14:textId="77777777" w:rsidR="00556B85" w:rsidRPr="00BC5106" w:rsidRDefault="00556B85">
      <w:pPr>
        <w:pStyle w:val="BodyText"/>
        <w:spacing w:before="40"/>
        <w:ind w:left="0"/>
        <w:rPr>
          <w:lang w:val="pl-PL"/>
        </w:rPr>
      </w:pPr>
    </w:p>
    <w:p w14:paraId="33D8348B" w14:textId="783EFBB3" w:rsidR="00556B85" w:rsidRPr="00BC5106" w:rsidRDefault="003154D9">
      <w:pPr>
        <w:pStyle w:val="Heading1"/>
        <w:rPr>
          <w:lang w:val="pl-PL"/>
        </w:rPr>
      </w:pPr>
      <w:r>
        <w:rPr>
          <w:spacing w:val="-2"/>
          <w:lang w:val="pl-PL" w:bidi="pl-PL"/>
        </w:rPr>
        <w:t>SYMBOLE</w:t>
      </w:r>
    </w:p>
    <w:p w14:paraId="08648F44" w14:textId="1D6CD2D3" w:rsidR="00556B85" w:rsidRDefault="003154D9">
      <w:pPr>
        <w:pStyle w:val="BodyText"/>
        <w:spacing w:before="19" w:line="283" w:lineRule="auto"/>
      </w:pPr>
      <w:r>
        <w:rPr>
          <w:w w:val="105"/>
          <w:lang w:val="pl-PL" w:bidi="pl-PL"/>
        </w:rPr>
        <w:t>W poniższej tabeli opisano symbole, które można zidentyfikować na opakowaniu i etykiecie wyrobu. Symbole dotyczące produktu znajdują się na etykiecie opakowania.</w:t>
      </w:r>
    </w:p>
    <w:p w14:paraId="14D8E438" w14:textId="77777777" w:rsidR="00556B85" w:rsidRDefault="00556B85">
      <w:pPr>
        <w:spacing w:line="283" w:lineRule="auto"/>
        <w:sectPr w:rsidR="00556B85">
          <w:headerReference w:type="default" r:id="rId16"/>
          <w:footerReference w:type="default" r:id="rId17"/>
          <w:pgSz w:w="11900" w:h="16850"/>
          <w:pgMar w:top="1020" w:right="260" w:bottom="880" w:left="320" w:header="0" w:footer="683" w:gutter="0"/>
          <w:cols w:space="720"/>
        </w:sectPr>
      </w:pPr>
    </w:p>
    <w:p w14:paraId="5FB7FAE1" w14:textId="77777777" w:rsidR="00556B85" w:rsidRDefault="00556B85">
      <w:pPr>
        <w:pStyle w:val="BodyText"/>
        <w:spacing w:before="66"/>
        <w:ind w:left="0"/>
      </w:pPr>
    </w:p>
    <w:p w14:paraId="30206EF8" w14:textId="1DB8A9D6" w:rsidR="00556B85" w:rsidRDefault="003154D9">
      <w:pPr>
        <w:pStyle w:val="BodyText"/>
        <w:ind w:left="245"/>
        <w:rPr>
          <w:rFonts w:ascii="Arial Black"/>
        </w:rPr>
      </w:pPr>
      <w:r>
        <w:rPr>
          <w:rFonts w:ascii="Arial Black" w:eastAsia="Arial Black" w:hAnsi="Arial Black" w:cs="Arial Black"/>
          <w:w w:val="85"/>
          <w:lang w:val="pl-PL" w:bidi="pl-PL"/>
        </w:rPr>
        <w:t xml:space="preserve">Słowniczek </w:t>
      </w:r>
      <w:r>
        <w:rPr>
          <w:rFonts w:ascii="Arial Black" w:eastAsia="Arial Black" w:hAnsi="Arial Black" w:cs="Arial Black"/>
          <w:spacing w:val="-2"/>
          <w:w w:val="85"/>
          <w:lang w:val="pl-PL" w:bidi="pl-PL"/>
        </w:rPr>
        <w:t>symboli</w:t>
      </w:r>
    </w:p>
    <w:p w14:paraId="674DE2C7" w14:textId="76B7C88D" w:rsidR="00556B85" w:rsidRDefault="005345CF">
      <w:pPr>
        <w:pStyle w:val="BodyText"/>
        <w:spacing w:before="5"/>
        <w:ind w:left="0"/>
        <w:rPr>
          <w:rFonts w:ascii="Arial Black"/>
          <w:sz w:val="4"/>
        </w:rPr>
      </w:pPr>
      <w:r w:rsidRPr="006439BE">
        <w:rPr>
          <w:noProof/>
          <w:w w:val="105"/>
          <w:lang w:val="pl-PL" w:bidi="pl-PL"/>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pl-PL" w:bidi="pl-PL"/>
                              </w:rPr>
                              <w:t>Chronić przed światłem słonecznym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pl-PL" w:bidi="pl-PL"/>
                        </w:rPr>
                        <w:t>Chronić przed światłem słonecznym</w:t>
                      </w:r>
                    </w:p>
                  </w:txbxContent>
                </v:textbox>
              </v:shape>
            </w:pict>
          </mc:Fallback>
        </mc:AlternateContent>
      </w:r>
      <w:r w:rsidRPr="006439BE">
        <w:rPr>
          <w:noProof/>
          <w:w w:val="105"/>
          <w:lang w:val="pl-PL" w:bidi="pl-PL"/>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pl-PL" w:bidi="pl-PL"/>
                              </w:rPr>
                              <w:t>Element protetyczny z sześciokątnym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pl-PL" w:bidi="pl-PL"/>
                        </w:rPr>
                        <w:t>Element protetyczny z sześciokątnym wskaźnikiem zapobiegającym obrotowi</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pl-PL" w:bidi="pl-PL"/>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pl-PL" w:bidi="pl-PL"/>
                              </w:rPr>
                              <w:t>Tel.</w:t>
                            </w:r>
                            <w:r w:rsidRPr="00BC5106">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B6208"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pl-PL" w:bidi="pl-PL"/>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pl-PL" w:bidi="pl-PL"/>
                        </w:rPr>
                        <w:t>Tel.</w:t>
                      </w:r>
                      <w:r w:rsidRPr="00BC5106">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pl-PL" w:bidi="pl-PL"/>
                              </w:rPr>
                              <w:t>Opakowanie zbiorcze (podana liczba oznacza liczbę elementów dostępnych w opakowaniu).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pl-PL" w:bidi="pl-PL"/>
                        </w:rPr>
                        <w:t>Opakowanie zbiorcze (podana liczba oznacza liczbę elementów dostępnych w opakowaniu).</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pl-PL" w:bidi="pl-PL"/>
                              </w:rPr>
                              <w:t>Przestroga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pl-PL" w:bidi="pl-PL"/>
                        </w:rPr>
                        <w:t>Przestroga</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pl-PL" w:bidi="pl-PL"/>
                              </w:rPr>
                              <w:t>Sprawdzić w instrukcji użycia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pl-PL" w:bidi="pl-PL"/>
                        </w:rPr>
                        <w:t>Sprawdzić w instrukcji użycia</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pl-PL" w:bidi="pl-PL"/>
                              </w:rPr>
                              <w:t>Nie używać ponownie - wyłącznie do jednorazowego użytku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pl-PL" w:bidi="pl-PL"/>
                        </w:rPr>
                        <w:t>Nie używać ponownie - wyłącznie do jednorazowego użytku</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pl-PL" w:bidi="pl-PL"/>
                              </w:rPr>
                              <w:t>Element protetyczny z ośmiokątnym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pl-PL" w:bidi="pl-PL"/>
                        </w:rPr>
                        <w:t>Element protetyczny z ośmiokątnym wskaźnikiem zapobiegającym obrotowi</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BC5106" w:rsidRDefault="006439BE" w:rsidP="006439BE">
                            <w:pPr>
                              <w:rPr>
                                <w:w w:val="90"/>
                                <w:sz w:val="12"/>
                                <w:szCs w:val="12"/>
                              </w:rPr>
                            </w:pPr>
                            <w:r w:rsidRPr="00BC5106">
                              <w:rPr>
                                <w:w w:val="90"/>
                                <w:sz w:val="12"/>
                                <w:szCs w:val="12"/>
                                <w:lang w:val="pl-PL" w:bidi="pl-PL"/>
                              </w:rPr>
                              <w:t>Wyroby medyczne Advan z oznaczeniem CE spełniają wymagania dyrektywy 93/42/EWG dotyczącej wyrobów medycznych z numerem jednostki notyfikowanej</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BC5106" w:rsidRDefault="006439BE" w:rsidP="006439BE">
                      <w:pPr>
                        <w:rPr>
                          <w:w w:val="90"/>
                          <w:sz w:val="12"/>
                          <w:szCs w:val="12"/>
                        </w:rPr>
                      </w:pPr>
                      <w:r w:rsidRPr="00BC5106">
                        <w:rPr>
                          <w:w w:val="90"/>
                          <w:sz w:val="12"/>
                          <w:szCs w:val="12"/>
                          <w:lang w:val="pl-PL" w:bidi="pl-PL"/>
                        </w:rPr>
                        <w:t>Wyroby medyczne Advan z oznaczeniem CE spełniają wymagania dyrektywy 93/42/EWG dotyczącej wyrobów medycznych z numerem jednostki notyfikowanej</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pl-PL" w:bidi="pl-PL"/>
                              </w:rPr>
                              <w:t>Wyroby medyczne Advan oznaczone znakiem CE spełniają wymagania rozporządzenia UE 2017/745 (MDR) dotyczącego wyrobów medycznych klasy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46C6B" w:rsidRDefault="006439BE" w:rsidP="006439BE">
                      <w:pPr>
                        <w:rPr>
                          <w:sz w:val="12"/>
                          <w:szCs w:val="12"/>
                        </w:rPr>
                      </w:pPr>
                      <w:r>
                        <w:rPr>
                          <w:sz w:val="12"/>
                          <w:szCs w:val="12"/>
                          <w:lang w:val="pl-PL" w:bidi="pl-PL"/>
                        </w:rPr>
                        <w:t>Wyroby medyczne Advan oznaczone znakiem CE spełniają wymagania rozporządzenia UE 2017/745 (MDR) dotyczącego wyrobów medycznych klasy l.</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pl-PL" w:bidi="pl-PL"/>
                        </w:rPr>
                        <w:t>Symbol</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pl-PL" w:bidi="pl-PL"/>
                        </w:rPr>
                        <w:t>Opis</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pl-PL" w:bidi="pl-PL"/>
                              </w:rPr>
                              <w:t>Obrotowy element protetyczny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pl-PL" w:bidi="pl-PL"/>
                        </w:rPr>
                        <w:t>Obrotowy element protetyczny</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pl-PL" w:bidi="pl-PL"/>
                              </w:rPr>
                              <w:t>Niepowtarzalny identyfikator wyrobu medycznego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pl-PL" w:bidi="pl-PL"/>
                        </w:rPr>
                        <w:t>Niepowtarzalny identyfikator wyrobu medycznego</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pl-PL" w:bidi="pl-PL"/>
                              </w:rPr>
                              <w:t>Dystrybutor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pl-PL" w:bidi="pl-PL"/>
                        </w:rPr>
                        <w:t>Dystrybutor</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pl-PL" w:bidi="pl-PL"/>
                              </w:rPr>
                              <w:t>System pojedynczej bariery sterylnej z zewnętrznym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pl-PL" w:bidi="pl-PL"/>
                        </w:rPr>
                        <w:t>System pojedynczej bariery sterylnej z zewnętrznym opakowaniem ochronnym</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pl-PL" w:bidi="pl-PL"/>
                              </w:rPr>
                              <w:t>System pojedynczej bariery sterylnej z wewnętrznym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pl-PL" w:bidi="pl-PL"/>
                        </w:rPr>
                        <w:t>System pojedynczej bariery sterylnej z wewnętrznym opakowaniem ochronnym</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pl-PL" w:bidi="pl-PL"/>
                              </w:rPr>
                              <w:t>Wyrób medyczny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pl-PL" w:bidi="pl-PL"/>
                        </w:rPr>
                        <w:t>Wyrób medyczny</w:t>
                      </w:r>
                    </w:p>
                  </w:txbxContent>
                </v:textbox>
              </v:shape>
            </w:pict>
          </mc:Fallback>
        </mc:AlternateContent>
      </w:r>
      <w:r w:rsidR="008A2A62" w:rsidRPr="006439BE">
        <w:rPr>
          <w:noProof/>
          <w:w w:val="105"/>
          <w:lang w:val="pl-PL" w:bidi="pl-PL"/>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pl-PL" w:bidi="pl-PL"/>
                              </w:rPr>
                              <w:t>Producent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pl-PL" w:bidi="pl-PL"/>
                        </w:rPr>
                        <w:t>Producent</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pl-PL" w:bidi="pl-PL"/>
                        </w:rPr>
                        <w:t>Opis</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pl-PL" w:bidi="pl-PL"/>
                        </w:rPr>
                        <w:t>Symbol</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pl-PL" w:bidi="pl-PL"/>
                        </w:rPr>
                        <w:t>Opis</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pl-PL" w:bidi="pl-PL"/>
                        </w:rPr>
                        <w:t>Symbol</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pl-PL" w:bidi="pl-PL"/>
                              </w:rPr>
                              <w:t>Data produkcji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pl-PL" w:bidi="pl-PL"/>
                        </w:rPr>
                        <w:t>Data produkcji</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pl-PL" w:bidi="pl-PL"/>
                              </w:rPr>
                              <w:t>Data ważności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pl-PL" w:bidi="pl-PL"/>
                        </w:rPr>
                        <w:t>Data ważności</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pl-PL" w:bidi="pl-PL"/>
                              </w:rPr>
                              <w:t>Numer serii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pl-PL" w:bidi="pl-PL"/>
                        </w:rPr>
                        <w:t>Numer serii</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pl-PL" w:bidi="pl-PL"/>
                              </w:rPr>
                              <w:t>Numer katalogowy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pl-PL" w:bidi="pl-PL"/>
                        </w:rPr>
                        <w:t>Numer katalogowy</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pl-PL" w:bidi="pl-PL"/>
                              </w:rPr>
                              <w:t>Sterylizowany radiacyjnie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pl-PL" w:bidi="pl-PL"/>
                        </w:rPr>
                        <w:t>Sterylizowany radiacyjnie</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pl-PL" w:bidi="pl-PL"/>
                              </w:rPr>
                              <w:t>Nie sterylizować ponownie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pl-PL" w:bidi="pl-PL"/>
                        </w:rPr>
                        <w:t>Nie sterylizować ponownie</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pl-PL" w:bidi="pl-PL"/>
                        </w:rPr>
                        <w:t>Niesterylny</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pl-PL" w:bidi="pl-PL"/>
                              </w:rPr>
                              <w:t>Nie używać, jeśli opakowanie zostało uszkodzone i zapoznać się z instrukcją obsługi.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pl-PL" w:bidi="pl-PL"/>
                        </w:rPr>
                        <w:t>Nie używać, jeśli opakowanie zostało uszkodzone i zapoznać się z instrukcją obsługi.</w:t>
                      </w:r>
                    </w:p>
                  </w:txbxContent>
                </v:textbox>
              </v:shape>
            </w:pict>
          </mc:Fallback>
        </mc:AlternateContent>
      </w:r>
      <w:r w:rsidR="001C7F41" w:rsidRPr="006439BE">
        <w:rPr>
          <w:noProof/>
          <w:w w:val="105"/>
          <w:lang w:val="pl-PL" w:bidi="pl-PL"/>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pl-PL" w:bidi="pl-PL"/>
                              </w:rPr>
                              <w:t>Chronić przed wilgocią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pl-PL" w:bidi="pl-PL"/>
                        </w:rPr>
                        <w:t>Chronić przed wilgocią</w:t>
                      </w:r>
                    </w:p>
                  </w:txbxContent>
                </v:textbox>
              </v:shape>
            </w:pict>
          </mc:Fallback>
        </mc:AlternateContent>
      </w:r>
      <w:r w:rsidR="003154D9">
        <w:rPr>
          <w:noProof/>
          <w:lang w:val="pl-PL" w:bidi="pl-PL"/>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8"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B02FC" w14:textId="77777777" w:rsidR="00030B74" w:rsidRDefault="00030B74">
      <w:r>
        <w:separator/>
      </w:r>
    </w:p>
  </w:endnote>
  <w:endnote w:type="continuationSeparator" w:id="0">
    <w:p w14:paraId="424094CE" w14:textId="77777777" w:rsidR="00030B74" w:rsidRDefault="0003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11D4" w14:textId="77777777" w:rsidR="00556B85" w:rsidRDefault="003154D9">
    <w:pPr>
      <w:pStyle w:val="BodyText"/>
      <w:spacing w:line="14" w:lineRule="auto"/>
      <w:ind w:left="0"/>
      <w:rPr>
        <w:sz w:val="20"/>
      </w:rPr>
    </w:pPr>
    <w:r>
      <w:rPr>
        <w:noProof/>
        <w:lang w:val="pl-PL" w:bidi="pl-PL"/>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pl-PL" w:bidi="pl-PL"/>
      </w:rPr>
      <mc:AlternateContent>
        <mc:Choice Requires="wps">
          <w:drawing>
            <wp:anchor distT="0" distB="0" distL="0" distR="0" simplePos="0" relativeHeight="487426048" behindDoc="1" locked="0" layoutInCell="1" allowOverlap="1" wp14:anchorId="5D84D844" wp14:editId="0CF1C9FF">
              <wp:simplePos x="0" y="0"/>
              <wp:positionH relativeFrom="page">
                <wp:posOffset>262255</wp:posOffset>
              </wp:positionH>
              <wp:positionV relativeFrom="page">
                <wp:posOffset>10164445</wp:posOffset>
              </wp:positionV>
              <wp:extent cx="2448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7D1ACFDC" w14:textId="77777777" w:rsidR="00556B85" w:rsidRDefault="003154D9">
                          <w:pPr>
                            <w:pStyle w:val="BodyText"/>
                            <w:spacing w:before="46"/>
                            <w:ind w:left="20"/>
                          </w:pPr>
                          <w:r>
                            <w:rPr>
                              <w:color w:val="AFAFAF"/>
                              <w:spacing w:val="-2"/>
                              <w:w w:val="105"/>
                              <w:lang w:val="pl-PL" w:bidi="pl-PL"/>
                            </w:rPr>
                            <w:t>Chromowo-kobaltowe</w:t>
                          </w:r>
                          <w:r>
                            <w:rPr>
                              <w:color w:val="AFAFAF"/>
                              <w:w w:val="105"/>
                              <w:lang w:val="pl-PL" w:bidi="pl-PL"/>
                            </w:rPr>
                            <w:t xml:space="preserve"> elementy protetyczne</w:t>
                          </w:r>
                        </w:p>
                      </w:txbxContent>
                    </wps:txbx>
                    <wps:bodyPr wrap="square" lIns="0" tIns="0" rIns="0" bIns="0" rtlCol="0">
                      <a:noAutofit/>
                    </wps:bodyPr>
                  </wps:wsp>
                </a:graphicData>
              </a:graphic>
              <wp14:sizeRelH relativeFrom="margin">
                <wp14:pctWidth>0</wp14:pctWidth>
              </wp14:sizeRelH>
            </wp:anchor>
          </w:drawing>
        </mc:Choice>
        <mc:Fallback>
          <w:pict>
            <v:shapetype w14:anchorId="5D84D844" id="_x0000_t202" coordsize="21600,21600" o:spt="202" path="m,l,21600r21600,l21600,xe">
              <v:stroke joinstyle="miter"/>
              <v:path gradientshapeok="t" o:connecttype="rect"/>
            </v:shapetype>
            <v:shape id="Textbox 4" o:spid="_x0000_s1058" type="#_x0000_t202" style="position:absolute;margin-left:20.65pt;margin-top:800.35pt;width:192.75pt;height:14.25pt;z-index:-158904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" filled="f" stroked="f">
              <v:textbox inset="0,0,0,0">
                <w:txbxContent>
                  <w:p w14:paraId="7D1ACFDC" w14:textId="77777777" w:rsidR="00556B85" w:rsidRDefault="003154D9">
                    <w:pPr>
                      <w:pStyle w:val="BodyText"/>
                      <w:spacing w:before="46"/>
                      <w:ind w:left="20"/>
                    </w:pPr>
                    <w:r>
                      <w:rPr>
                        <w:color w:val="AFAFAF"/>
                        <w:spacing w:val="-2"/>
                        <w:w w:val="105"/>
                        <w:lang w:val="pl-PL" w:bidi="pl-PL"/>
                      </w:rPr>
                      <w:t>Chromowo-kobaltowe</w:t>
                    </w:r>
                    <w:r>
                      <w:rPr>
                        <w:color w:val="AFAFAF"/>
                        <w:w w:val="105"/>
                        <w:lang w:val="pl-PL" w:bidi="pl-PL"/>
                      </w:rPr>
                      <w:t xml:space="preserve"> elementy protetyczne</w:t>
                    </w:r>
                  </w:p>
                </w:txbxContent>
              </v:textbox>
              <w10:wrap anchorx="page" anchory="page"/>
            </v:shape>
          </w:pict>
        </mc:Fallback>
      </mc:AlternateContent>
    </w:r>
    <w:r>
      <w:rPr>
        <w:noProof/>
        <w:lang w:val="pl-PL" w:bidi="pl-PL"/>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BodyText"/>
                            <w:spacing w:before="46"/>
                            <w:ind w:left="60"/>
                          </w:pPr>
                          <w:r>
                            <w:rPr>
                              <w:spacing w:val="-10"/>
                              <w:lang w:val="pl-PL" w:bidi="pl-PL"/>
                            </w:rPr>
                            <w:fldChar w:fldCharType="begin"/>
                          </w:r>
                          <w:r>
                            <w:rPr>
                              <w:spacing w:val="-10"/>
                              <w:lang w:val="pl-PL" w:bidi="pl-PL"/>
                            </w:rPr>
                            <w:instrText xml:space="preserve"> PAGE </w:instrText>
                          </w:r>
                          <w:r>
                            <w:rPr>
                              <w:spacing w:val="-10"/>
                              <w:lang w:val="pl-PL" w:bidi="pl-PL"/>
                            </w:rPr>
                            <w:fldChar w:fldCharType="separate"/>
                          </w:r>
                          <w:r>
                            <w:rPr>
                              <w:spacing w:val="-10"/>
                              <w:lang w:val="pl-PL" w:bidi="pl-PL"/>
                            </w:rPr>
                            <w:t>1</w:t>
                          </w:r>
                          <w:r>
                            <w:rPr>
                              <w:spacing w:val="-10"/>
                              <w:lang w:val="pl-PL" w:bidi="pl-PL"/>
                            </w:rPr>
                            <w:fldChar w:fldCharType="end"/>
                          </w:r>
                        </w:p>
                      </w:txbxContent>
                    </wps:txbx>
                    <wps:bodyPr wrap="square" lIns="0" tIns="0" rIns="0" bIns="0" rtlCol="0">
                      <a:noAutofit/>
                    </wps:bodyPr>
                  </wps:wsp>
                </a:graphicData>
              </a:graphic>
            </wp:anchor>
          </w:drawing>
        </mc:Choice>
        <mc:Fallback>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pl-PL" w:bidi="pl-PL"/>
                      </w:rPr>
                      <w:fldChar w:fldCharType="begin"/>
                    </w:r>
                    <w:r>
                      <w:rPr>
                        <w:spacing w:val="-10"/>
                        <w:lang w:val="pl-PL" w:bidi="pl-PL"/>
                      </w:rPr>
                      <w:instrText xml:space="preserve"> PAGE </w:instrText>
                    </w:r>
                    <w:r>
                      <w:rPr>
                        <w:spacing w:val="-10"/>
                        <w:lang w:val="pl-PL" w:bidi="pl-PL"/>
                      </w:rPr>
                      <w:fldChar w:fldCharType="separate"/>
                    </w:r>
                    <w:r>
                      <w:rPr>
                        <w:spacing w:val="-10"/>
                        <w:lang w:val="pl-PL" w:bidi="pl-PL"/>
                      </w:rPr>
                      <w:t>1</w:t>
                    </w:r>
                    <w:r>
                      <w:rPr>
                        <w:spacing w:val="-10"/>
                        <w:lang w:val="pl-PL" w:bidi="pl-PL"/>
                      </w:rPr>
                      <w:fldChar w:fldCharType="end"/>
                    </w:r>
                  </w:p>
                </w:txbxContent>
              </v:textbox>
              <w10:wrap anchorx="page" anchory="page"/>
            </v:shape>
          </w:pict>
        </mc:Fallback>
      </mc:AlternateContent>
    </w:r>
    <w:r>
      <w:rPr>
        <w:noProof/>
        <w:lang w:val="pl-PL" w:bidi="pl-PL"/>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BodyText"/>
                            <w:spacing w:before="46"/>
                            <w:ind w:left="20"/>
                          </w:pPr>
                          <w:r>
                            <w:rPr>
                              <w:color w:val="AFAFAF"/>
                              <w:spacing w:val="-2"/>
                              <w:lang w:val="pl-PL" w:bidi="pl-PL"/>
                            </w:rPr>
                            <w:t>02.10.29.11_Zm.04 06-</w:t>
                          </w:r>
                          <w:r>
                            <w:rPr>
                              <w:color w:val="AFAFAF"/>
                              <w:spacing w:val="-4"/>
                              <w:lang w:val="pl-PL" w:bidi="pl-PL"/>
                            </w:rPr>
                            <w:t>2023</w:t>
                          </w:r>
                        </w:p>
                      </w:txbxContent>
                    </wps:txbx>
                    <wps:bodyPr wrap="square" lIns="0" tIns="0" rIns="0" bIns="0" rtlCol="0">
                      <a:noAutofit/>
                    </wps:bodyPr>
                  </wps:wsp>
                </a:graphicData>
              </a:graphic>
            </wp:anchor>
          </w:drawing>
        </mc:Choice>
        <mc:Fallback>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pl-PL" w:bidi="pl-PL"/>
                      </w:rPr>
                      <w:t>02.10.29.11_Zm.04 06-</w:t>
                    </w:r>
                    <w:r>
                      <w:rPr>
                        <w:color w:val="AFAFAF"/>
                        <w:spacing w:val="-4"/>
                        <w:lang w:val="pl-PL" w:bidi="pl-PL"/>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0F94" w14:textId="77777777" w:rsidR="00556B85" w:rsidRDefault="003154D9">
    <w:pPr>
      <w:pStyle w:val="BodyText"/>
      <w:spacing w:line="14" w:lineRule="auto"/>
      <w:ind w:left="0"/>
      <w:rPr>
        <w:sz w:val="20"/>
      </w:rPr>
    </w:pPr>
    <w:r>
      <w:rPr>
        <w:noProof/>
        <w:lang w:val="pl-PL" w:bidi="pl-PL"/>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pl-PL" w:bidi="pl-PL"/>
      </w:rPr>
      <mc:AlternateContent>
        <mc:Choice Requires="wps">
          <w:drawing>
            <wp:anchor distT="0" distB="0" distL="0" distR="0" simplePos="0" relativeHeight="487428096" behindDoc="1" locked="0" layoutInCell="1" allowOverlap="1" wp14:anchorId="1A959734" wp14:editId="71A5C152">
              <wp:simplePos x="0" y="0"/>
              <wp:positionH relativeFrom="page">
                <wp:posOffset>262255</wp:posOffset>
              </wp:positionH>
              <wp:positionV relativeFrom="page">
                <wp:posOffset>10164445</wp:posOffset>
              </wp:positionV>
              <wp:extent cx="244800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45514E65" w14:textId="77777777" w:rsidR="00556B85" w:rsidRDefault="003154D9">
                          <w:pPr>
                            <w:pStyle w:val="BodyText"/>
                            <w:spacing w:before="46"/>
                            <w:ind w:left="20"/>
                          </w:pPr>
                          <w:r>
                            <w:rPr>
                              <w:color w:val="AFAFAF"/>
                              <w:spacing w:val="-2"/>
                              <w:w w:val="105"/>
                              <w:lang w:val="pl-PL" w:bidi="pl-PL"/>
                            </w:rPr>
                            <w:t>Chromowo-kobaltowe</w:t>
                          </w:r>
                          <w:r>
                            <w:rPr>
                              <w:color w:val="AFAFAF"/>
                              <w:w w:val="105"/>
                              <w:lang w:val="pl-PL" w:bidi="pl-PL"/>
                            </w:rPr>
                            <w:t xml:space="preserve"> elementy protetyczne</w:t>
                          </w:r>
                        </w:p>
                      </w:txbxContent>
                    </wps:txbx>
                    <wps:bodyPr wrap="square" lIns="0" tIns="0" rIns="0" bIns="0" rtlCol="0">
                      <a:noAutofit/>
                    </wps:bodyPr>
                  </wps:wsp>
                </a:graphicData>
              </a:graphic>
              <wp14:sizeRelH relativeFrom="margin">
                <wp14:pctWidth>0</wp14:pctWidth>
              </wp14:sizeRelH>
            </wp:anchor>
          </w:drawing>
        </mc:Choice>
        <mc:Fallback>
          <w:pict>
            <v:shapetype w14:anchorId="1A959734" id="_x0000_t202" coordsize="21600,21600" o:spt="202" path="m,l,21600r21600,l21600,xe">
              <v:stroke joinstyle="miter"/>
              <v:path gradientshapeok="t" o:connecttype="rect"/>
            </v:shapetype>
            <v:shape id="Textbox 32" o:spid="_x0000_s1061" type="#_x0000_t202" style="position:absolute;margin-left:20.65pt;margin-top:800.35pt;width:192.75pt;height:14.25pt;z-index:-15888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" filled="f" stroked="f">
              <v:textbox inset="0,0,0,0">
                <w:txbxContent>
                  <w:p w14:paraId="45514E65" w14:textId="77777777" w:rsidR="00556B85" w:rsidRDefault="003154D9">
                    <w:pPr>
                      <w:pStyle w:val="BodyText"/>
                      <w:spacing w:before="46"/>
                      <w:ind w:left="20"/>
                    </w:pPr>
                    <w:r>
                      <w:rPr>
                        <w:color w:val="AFAFAF"/>
                        <w:spacing w:val="-2"/>
                        <w:w w:val="105"/>
                        <w:lang w:val="pl-PL" w:bidi="pl-PL"/>
                      </w:rPr>
                      <w:t>Chromowo-kobaltowe</w:t>
                    </w:r>
                    <w:r>
                      <w:rPr>
                        <w:color w:val="AFAFAF"/>
                        <w:w w:val="105"/>
                        <w:lang w:val="pl-PL" w:bidi="pl-PL"/>
                      </w:rPr>
                      <w:t xml:space="preserve"> elementy protetyczne</w:t>
                    </w:r>
                  </w:p>
                </w:txbxContent>
              </v:textbox>
              <w10:wrap anchorx="page" anchory="page"/>
            </v:shape>
          </w:pict>
        </mc:Fallback>
      </mc:AlternateContent>
    </w:r>
    <w:r>
      <w:rPr>
        <w:noProof/>
        <w:lang w:val="pl-PL" w:bidi="pl-PL"/>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BodyText"/>
                            <w:spacing w:before="46"/>
                            <w:ind w:left="60"/>
                          </w:pPr>
                          <w:r>
                            <w:rPr>
                              <w:spacing w:val="-10"/>
                              <w:lang w:val="pl-PL" w:bidi="pl-PL"/>
                            </w:rPr>
                            <w:fldChar w:fldCharType="begin"/>
                          </w:r>
                          <w:r>
                            <w:rPr>
                              <w:spacing w:val="-10"/>
                              <w:lang w:val="pl-PL" w:bidi="pl-PL"/>
                            </w:rPr>
                            <w:instrText xml:space="preserve"> PAGE </w:instrText>
                          </w:r>
                          <w:r>
                            <w:rPr>
                              <w:spacing w:val="-10"/>
                              <w:lang w:val="pl-PL" w:bidi="pl-PL"/>
                            </w:rPr>
                            <w:fldChar w:fldCharType="separate"/>
                          </w:r>
                          <w:r>
                            <w:rPr>
                              <w:spacing w:val="-10"/>
                              <w:lang w:val="pl-PL" w:bidi="pl-PL"/>
                            </w:rPr>
                            <w:t>3</w:t>
                          </w:r>
                          <w:r>
                            <w:rPr>
                              <w:spacing w:val="-10"/>
                              <w:lang w:val="pl-PL" w:bidi="pl-PL"/>
                            </w:rPr>
                            <w:fldChar w:fldCharType="end"/>
                          </w:r>
                        </w:p>
                      </w:txbxContent>
                    </wps:txbx>
                    <wps:bodyPr wrap="square" lIns="0" tIns="0" rIns="0" bIns="0" rtlCol="0">
                      <a:noAutofit/>
                    </wps:bodyPr>
                  </wps:wsp>
                </a:graphicData>
              </a:graphic>
            </wp:anchor>
          </w:drawing>
        </mc:Choice>
        <mc:Fallback>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pl-PL" w:bidi="pl-PL"/>
                      </w:rPr>
                      <w:fldChar w:fldCharType="begin"/>
                    </w:r>
                    <w:r>
                      <w:rPr>
                        <w:spacing w:val="-10"/>
                        <w:lang w:val="pl-PL" w:bidi="pl-PL"/>
                      </w:rPr>
                      <w:instrText xml:space="preserve"> PAGE </w:instrText>
                    </w:r>
                    <w:r>
                      <w:rPr>
                        <w:spacing w:val="-10"/>
                        <w:lang w:val="pl-PL" w:bidi="pl-PL"/>
                      </w:rPr>
                      <w:fldChar w:fldCharType="separate"/>
                    </w:r>
                    <w:r>
                      <w:rPr>
                        <w:spacing w:val="-10"/>
                        <w:lang w:val="pl-PL" w:bidi="pl-PL"/>
                      </w:rPr>
                      <w:t>3</w:t>
                    </w:r>
                    <w:r>
                      <w:rPr>
                        <w:spacing w:val="-10"/>
                        <w:lang w:val="pl-PL" w:bidi="pl-PL"/>
                      </w:rPr>
                      <w:fldChar w:fldCharType="end"/>
                    </w:r>
                  </w:p>
                </w:txbxContent>
              </v:textbox>
              <w10:wrap anchorx="page" anchory="page"/>
            </v:shape>
          </w:pict>
        </mc:Fallback>
      </mc:AlternateContent>
    </w:r>
    <w:r>
      <w:rPr>
        <w:noProof/>
        <w:lang w:val="pl-PL" w:bidi="pl-PL"/>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BodyText"/>
                            <w:spacing w:before="46"/>
                            <w:ind w:left="20"/>
                          </w:pPr>
                          <w:r>
                            <w:rPr>
                              <w:color w:val="AFAFAF"/>
                              <w:spacing w:val="-2"/>
                              <w:lang w:val="pl-PL" w:bidi="pl-PL"/>
                            </w:rPr>
                            <w:t>02.10.29.11_Zm.04 06-</w:t>
                          </w:r>
                          <w:r>
                            <w:rPr>
                              <w:color w:val="AFAFAF"/>
                              <w:spacing w:val="-4"/>
                              <w:lang w:val="pl-PL" w:bidi="pl-PL"/>
                            </w:rPr>
                            <w:t>2023</w:t>
                          </w:r>
                        </w:p>
                      </w:txbxContent>
                    </wps:txbx>
                    <wps:bodyPr wrap="square" lIns="0" tIns="0" rIns="0" bIns="0" rtlCol="0">
                      <a:noAutofit/>
                    </wps:bodyPr>
                  </wps:wsp>
                </a:graphicData>
              </a:graphic>
            </wp:anchor>
          </w:drawing>
        </mc:Choice>
        <mc:Fallback>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pl-PL" w:bidi="pl-PL"/>
                      </w:rPr>
                      <w:t>02.10.29.11_Zm.04 06-</w:t>
                    </w:r>
                    <w:r>
                      <w:rPr>
                        <w:color w:val="AFAFAF"/>
                        <w:spacing w:val="-4"/>
                        <w:lang w:val="pl-PL" w:bidi="pl-PL"/>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0197" w14:textId="77777777" w:rsidR="00556B85" w:rsidRDefault="003154D9">
    <w:pPr>
      <w:pStyle w:val="BodyText"/>
      <w:spacing w:line="14" w:lineRule="auto"/>
      <w:ind w:left="0"/>
      <w:rPr>
        <w:sz w:val="20"/>
      </w:rPr>
    </w:pPr>
    <w:r>
      <w:rPr>
        <w:noProof/>
        <w:lang w:val="pl-PL" w:bidi="pl-PL"/>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pl-PL" w:bidi="pl-PL"/>
      </w:rPr>
      <mc:AlternateContent>
        <mc:Choice Requires="wps">
          <w:drawing>
            <wp:anchor distT="0" distB="0" distL="0" distR="0" simplePos="0" relativeHeight="487431168" behindDoc="1" locked="0" layoutInCell="1" allowOverlap="1" wp14:anchorId="77091456" wp14:editId="5FF4292B">
              <wp:simplePos x="0" y="0"/>
              <wp:positionH relativeFrom="page">
                <wp:posOffset>262255</wp:posOffset>
              </wp:positionH>
              <wp:positionV relativeFrom="page">
                <wp:posOffset>10164445</wp:posOffset>
              </wp:positionV>
              <wp:extent cx="244800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5F33BC90" w14:textId="77777777" w:rsidR="00556B85" w:rsidRDefault="003154D9">
                          <w:pPr>
                            <w:pStyle w:val="BodyText"/>
                            <w:spacing w:before="46"/>
                            <w:ind w:left="20"/>
                          </w:pPr>
                          <w:r>
                            <w:rPr>
                              <w:color w:val="AFAFAF"/>
                              <w:spacing w:val="-2"/>
                              <w:w w:val="105"/>
                              <w:lang w:val="pl-PL" w:bidi="pl-PL"/>
                            </w:rPr>
                            <w:t>Chromowo-kobaltowe</w:t>
                          </w:r>
                          <w:r>
                            <w:rPr>
                              <w:color w:val="AFAFAF"/>
                              <w:w w:val="105"/>
                              <w:lang w:val="pl-PL" w:bidi="pl-PL"/>
                            </w:rPr>
                            <w:t xml:space="preserve"> elementy protetyczne</w:t>
                          </w:r>
                        </w:p>
                      </w:txbxContent>
                    </wps:txbx>
                    <wps:bodyPr wrap="square" lIns="0" tIns="0" rIns="0" bIns="0" rtlCol="0">
                      <a:noAutofit/>
                    </wps:bodyPr>
                  </wps:wsp>
                </a:graphicData>
              </a:graphic>
              <wp14:sizeRelH relativeFrom="margin">
                <wp14:pctWidth>0</wp14:pctWidth>
              </wp14:sizeRelH>
            </wp:anchor>
          </w:drawing>
        </mc:Choice>
        <mc:Fallback>
          <w:pict>
            <v:shapetype w14:anchorId="77091456" id="_x0000_t202" coordsize="21600,21600" o:spt="202" path="m,l,21600r21600,l21600,xe">
              <v:stroke joinstyle="miter"/>
              <v:path gradientshapeok="t" o:connecttype="rect"/>
            </v:shapetype>
            <v:shape id="Textbox 49" o:spid="_x0000_s1064" type="#_x0000_t202" style="position:absolute;margin-left:20.65pt;margin-top:800.35pt;width:192.75pt;height:14.25pt;z-index:-1588531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" filled="f" stroked="f">
              <v:textbox inset="0,0,0,0">
                <w:txbxContent>
                  <w:p w14:paraId="5F33BC90" w14:textId="77777777" w:rsidR="00556B85" w:rsidRDefault="003154D9">
                    <w:pPr>
                      <w:pStyle w:val="BodyText"/>
                      <w:spacing w:before="46"/>
                      <w:ind w:left="20"/>
                    </w:pPr>
                    <w:r>
                      <w:rPr>
                        <w:color w:val="AFAFAF"/>
                        <w:spacing w:val="-2"/>
                        <w:w w:val="105"/>
                        <w:lang w:val="pl-PL" w:bidi="pl-PL"/>
                      </w:rPr>
                      <w:t>Chromowo-kobaltowe</w:t>
                    </w:r>
                    <w:r>
                      <w:rPr>
                        <w:color w:val="AFAFAF"/>
                        <w:w w:val="105"/>
                        <w:lang w:val="pl-PL" w:bidi="pl-PL"/>
                      </w:rPr>
                      <w:t xml:space="preserve"> elementy protetyczne</w:t>
                    </w:r>
                  </w:p>
                </w:txbxContent>
              </v:textbox>
              <w10:wrap anchorx="page" anchory="page"/>
            </v:shape>
          </w:pict>
        </mc:Fallback>
      </mc:AlternateContent>
    </w:r>
    <w:r>
      <w:rPr>
        <w:noProof/>
        <w:lang w:val="pl-PL" w:bidi="pl-PL"/>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BodyText"/>
                            <w:spacing w:before="46"/>
                            <w:ind w:left="60"/>
                          </w:pPr>
                          <w:r>
                            <w:rPr>
                              <w:spacing w:val="-10"/>
                              <w:lang w:val="pl-PL" w:bidi="pl-PL"/>
                            </w:rPr>
                            <w:fldChar w:fldCharType="begin"/>
                          </w:r>
                          <w:r>
                            <w:rPr>
                              <w:spacing w:val="-10"/>
                              <w:lang w:val="pl-PL" w:bidi="pl-PL"/>
                            </w:rPr>
                            <w:instrText xml:space="preserve"> PAGE </w:instrText>
                          </w:r>
                          <w:r>
                            <w:rPr>
                              <w:spacing w:val="-10"/>
                              <w:lang w:val="pl-PL" w:bidi="pl-PL"/>
                            </w:rPr>
                            <w:fldChar w:fldCharType="separate"/>
                          </w:r>
                          <w:r>
                            <w:rPr>
                              <w:spacing w:val="-10"/>
                              <w:lang w:val="pl-PL" w:bidi="pl-PL"/>
                            </w:rPr>
                            <w:t>4</w:t>
                          </w:r>
                          <w:r>
                            <w:rPr>
                              <w:spacing w:val="-10"/>
                              <w:lang w:val="pl-PL" w:bidi="pl-PL"/>
                            </w:rPr>
                            <w:fldChar w:fldCharType="end"/>
                          </w:r>
                        </w:p>
                      </w:txbxContent>
                    </wps:txbx>
                    <wps:bodyPr wrap="square" lIns="0" tIns="0" rIns="0" bIns="0" rtlCol="0">
                      <a:noAutofit/>
                    </wps:bodyPr>
                  </wps:wsp>
                </a:graphicData>
              </a:graphic>
            </wp:anchor>
          </w:drawing>
        </mc:Choice>
        <mc:Fallback>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pl-PL" w:bidi="pl-PL"/>
                      </w:rPr>
                      <w:fldChar w:fldCharType="begin"/>
                    </w:r>
                    <w:r>
                      <w:rPr>
                        <w:spacing w:val="-10"/>
                        <w:lang w:val="pl-PL" w:bidi="pl-PL"/>
                      </w:rPr>
                      <w:instrText xml:space="preserve"> PAGE </w:instrText>
                    </w:r>
                    <w:r>
                      <w:rPr>
                        <w:spacing w:val="-10"/>
                        <w:lang w:val="pl-PL" w:bidi="pl-PL"/>
                      </w:rPr>
                      <w:fldChar w:fldCharType="separate"/>
                    </w:r>
                    <w:r>
                      <w:rPr>
                        <w:spacing w:val="-10"/>
                        <w:lang w:val="pl-PL" w:bidi="pl-PL"/>
                      </w:rPr>
                      <w:t>4</w:t>
                    </w:r>
                    <w:r>
                      <w:rPr>
                        <w:spacing w:val="-10"/>
                        <w:lang w:val="pl-PL" w:bidi="pl-PL"/>
                      </w:rPr>
                      <w:fldChar w:fldCharType="end"/>
                    </w:r>
                  </w:p>
                </w:txbxContent>
              </v:textbox>
              <w10:wrap anchorx="page" anchory="page"/>
            </v:shape>
          </w:pict>
        </mc:Fallback>
      </mc:AlternateContent>
    </w:r>
    <w:r>
      <w:rPr>
        <w:noProof/>
        <w:lang w:val="pl-PL" w:bidi="pl-PL"/>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BodyText"/>
                            <w:spacing w:before="46"/>
                            <w:ind w:left="20"/>
                          </w:pPr>
                          <w:r>
                            <w:rPr>
                              <w:color w:val="AFAFAF"/>
                              <w:spacing w:val="-2"/>
                              <w:lang w:val="pl-PL" w:bidi="pl-PL"/>
                            </w:rPr>
                            <w:t>02.10.29.11_Zm.04 06-</w:t>
                          </w:r>
                          <w:r>
                            <w:rPr>
                              <w:color w:val="AFAFAF"/>
                              <w:spacing w:val="-4"/>
                              <w:lang w:val="pl-PL" w:bidi="pl-PL"/>
                            </w:rPr>
                            <w:t>2023</w:t>
                          </w:r>
                        </w:p>
                      </w:txbxContent>
                    </wps:txbx>
                    <wps:bodyPr wrap="square" lIns="0" tIns="0" rIns="0" bIns="0" rtlCol="0">
                      <a:noAutofit/>
                    </wps:bodyPr>
                  </wps:wsp>
                </a:graphicData>
              </a:graphic>
            </wp:anchor>
          </w:drawing>
        </mc:Choice>
        <mc:Fallback>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pl-PL" w:bidi="pl-PL"/>
                      </w:rPr>
                      <w:t>02.10.29.11_Zm.04 06-</w:t>
                    </w:r>
                    <w:r>
                      <w:rPr>
                        <w:color w:val="AFAFAF"/>
                        <w:spacing w:val="-4"/>
                        <w:lang w:val="pl-PL" w:bidi="pl-PL"/>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F950D" w14:textId="77777777" w:rsidR="00030B74" w:rsidRDefault="00030B74">
      <w:r>
        <w:separator/>
      </w:r>
    </w:p>
  </w:footnote>
  <w:footnote w:type="continuationSeparator" w:id="0">
    <w:p w14:paraId="7EA28E63" w14:textId="77777777" w:rsidR="00030B74" w:rsidRDefault="00030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120E" w14:textId="77777777" w:rsidR="00556B85" w:rsidRDefault="003154D9">
    <w:pPr>
      <w:pStyle w:val="BodyText"/>
      <w:spacing w:line="14" w:lineRule="auto"/>
      <w:ind w:left="0"/>
      <w:rPr>
        <w:sz w:val="20"/>
      </w:rPr>
    </w:pPr>
    <w:r>
      <w:rPr>
        <w:noProof/>
        <w:lang w:val="pl-PL" w:bidi="pl-PL"/>
      </w:rPr>
      <w:drawing>
        <wp:anchor distT="0" distB="0" distL="0" distR="0" simplePos="0" relativeHeight="487424512" behindDoc="1" locked="0" layoutInCell="1" allowOverlap="1" wp14:anchorId="5BAAAFFA" wp14:editId="5677524E">
          <wp:simplePos x="0" y="0"/>
          <wp:positionH relativeFrom="page">
            <wp:posOffset>1647825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5F03" w14:textId="77777777" w:rsidR="00556B85" w:rsidRDefault="00556B85">
    <w:pPr>
      <w:pStyle w:val="BodyText"/>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ACB8" w14:textId="77777777" w:rsidR="00556B85" w:rsidRDefault="003154D9">
    <w:pPr>
      <w:pStyle w:val="BodyText"/>
      <w:spacing w:line="14" w:lineRule="auto"/>
      <w:ind w:left="0"/>
      <w:rPr>
        <w:sz w:val="20"/>
      </w:rPr>
    </w:pPr>
    <w:r>
      <w:rPr>
        <w:noProof/>
        <w:lang w:val="pl-PL" w:bidi="pl-PL"/>
      </w:rPr>
      <w:drawing>
        <wp:anchor distT="0" distB="0" distL="0" distR="0" simplePos="0" relativeHeight="487429632" behindDoc="1" locked="0" layoutInCell="1" allowOverlap="1" wp14:anchorId="416C2A0D" wp14:editId="06DA86FD">
          <wp:simplePos x="0" y="0"/>
          <wp:positionH relativeFrom="page">
            <wp:posOffset>1651635</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pt;height:6pt;visibility:visible;mso-wrap-style:square" o:bullet="t">
        <v:imagedata r:id="rId1" o:title=""/>
        <o:lock v:ext="edit" aspectratio="f"/>
      </v:shape>
    </w:pict>
  </w:numPicBullet>
  <w:abstractNum w:abstractNumId="0" w15:restartNumberingAfterBreak="0">
    <w:nsid w:val="139E3AF8"/>
    <w:multiLevelType w:val="hybridMultilevel"/>
    <w:tmpl w:val="ED742C80"/>
    <w:lvl w:ilvl="0" w:tplc="93D62658">
      <w:start w:val="1"/>
      <w:numFmt w:val="decimal"/>
      <w:lvlText w:val="%1."/>
      <w:lvlJc w:val="left"/>
      <w:pPr>
        <w:ind w:left="113" w:hanging="225"/>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030B74"/>
    <w:rsid w:val="001C7F41"/>
    <w:rsid w:val="003154D9"/>
    <w:rsid w:val="005345CF"/>
    <w:rsid w:val="00552CED"/>
    <w:rsid w:val="00556B85"/>
    <w:rsid w:val="006439BE"/>
    <w:rsid w:val="008A2A62"/>
    <w:rsid w:val="00A042E4"/>
    <w:rsid w:val="00BC5106"/>
    <w:rsid w:val="00E8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ind w:left="113" w:right="175"/>
      <w:jc w:val="both"/>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6439BE"/>
    <w:rPr>
      <w:rFonts w:ascii="Arial" w:eastAsia="Arial" w:hAnsi="Arial" w:cs="Arial"/>
      <w:sz w:val="17"/>
      <w:szCs w:val="17"/>
    </w:rPr>
  </w:style>
  <w:style w:type="paragraph" w:customStyle="1" w:styleId="Other0">
    <w:name w:val="Other"/>
    <w:basedOn w:val="Normal"/>
    <w:link w:val="Other"/>
    <w:rsid w:val="006439BE"/>
    <w:pPr>
      <w:autoSpaceDE/>
      <w:autoSpaceDN/>
      <w:jc w:val="center"/>
    </w:pPr>
    <w:rPr>
      <w:rFonts w:ascii="Arial" w:eastAsia="Arial" w:hAnsi="Arial" w:cs="Arial"/>
      <w:sz w:val="17"/>
      <w:szCs w:val="17"/>
      <w:lang w:val="en-US"/>
    </w:rPr>
  </w:style>
  <w:style w:type="paragraph" w:styleId="Header">
    <w:name w:val="header"/>
    <w:basedOn w:val="Normal"/>
    <w:link w:val="HeaderChar"/>
    <w:uiPriority w:val="99"/>
    <w:unhideWhenUsed/>
    <w:rsid w:val="00BC5106"/>
    <w:pPr>
      <w:tabs>
        <w:tab w:val="center" w:pos="4819"/>
        <w:tab w:val="right" w:pos="9638"/>
      </w:tabs>
    </w:pPr>
  </w:style>
  <w:style w:type="character" w:customStyle="1" w:styleId="HeaderChar">
    <w:name w:val="Header Char"/>
    <w:basedOn w:val="DefaultParagraphFont"/>
    <w:link w:val="Header"/>
    <w:uiPriority w:val="99"/>
    <w:rsid w:val="00BC5106"/>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BC5106"/>
    <w:pPr>
      <w:tabs>
        <w:tab w:val="center" w:pos="4819"/>
        <w:tab w:val="right" w:pos="9638"/>
      </w:tabs>
    </w:pPr>
  </w:style>
  <w:style w:type="character" w:customStyle="1" w:styleId="FooterChar">
    <w:name w:val="Footer Char"/>
    <w:basedOn w:val="DefaultParagraphFont"/>
    <w:link w:val="Footer"/>
    <w:uiPriority w:val="99"/>
    <w:rsid w:val="00BC5106"/>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0.png"/><Relationship Id="rId18"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2024-02-08T15:23:00Z</dcterms:created>
  <dcterms:modified xsi:type="dcterms:W3CDTF">2024-02-12T11:03:00Z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